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FORM 10-K</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4" w:lineRule="exact"/>
        <w:rPr>
          <w:sz w:val="24"/>
          <w:szCs w:val="24"/>
          <w:color w:val="auto"/>
        </w:rPr>
      </w:pPr>
    </w:p>
    <w:p>
      <w:pPr>
        <w:ind w:left="348" w:right="3439" w:hanging="348"/>
        <w:spacing w:after="0"/>
        <w:tabs>
          <w:tab w:leader="none" w:pos="3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31, 2000</w:t>
      </w:r>
    </w:p>
    <w:p>
      <w:pPr>
        <w:spacing w:after="0" w:line="174" w:lineRule="exact"/>
        <w:rPr>
          <w:sz w:val="24"/>
          <w:szCs w:val="24"/>
          <w:color w:val="auto"/>
        </w:rPr>
      </w:pPr>
    </w:p>
    <w:p>
      <w:pPr>
        <w:ind w:left="3408"/>
        <w:spacing w:after="0"/>
        <w:rPr>
          <w:sz w:val="20"/>
          <w:szCs w:val="20"/>
          <w:color w:val="auto"/>
        </w:rPr>
      </w:pPr>
      <w:r>
        <w:rPr>
          <w:rFonts w:ascii="Courier New" w:cs="Courier New" w:eastAsia="Courier New" w:hAnsi="Courier New"/>
          <w:sz w:val="15"/>
          <w:szCs w:val="15"/>
          <w:color w:val="auto"/>
        </w:rPr>
        <w:t>OR</w:t>
      </w:r>
    </w:p>
    <w:p>
      <w:pPr>
        <w:spacing w:after="0" w:line="176" w:lineRule="exact"/>
        <w:rPr>
          <w:sz w:val="24"/>
          <w:szCs w:val="24"/>
          <w:color w:val="auto"/>
        </w:rPr>
      </w:pPr>
    </w:p>
    <w:p>
      <w:pPr>
        <w:ind w:left="268" w:right="3959" w:hanging="267"/>
        <w:spacing w:after="0"/>
        <w:rPr>
          <w:sz w:val="20"/>
          <w:szCs w:val="20"/>
          <w:color w:val="auto"/>
        </w:rPr>
      </w:pPr>
      <w:r>
        <w:rPr>
          <w:rFonts w:ascii="Courier New" w:cs="Courier New" w:eastAsia="Courier New" w:hAnsi="Courier New"/>
          <w:sz w:val="15"/>
          <w:szCs w:val="15"/>
          <w:color w:val="auto"/>
        </w:rPr>
        <w:t>[_]TRANSITION REPORT PURSUANT TO SECTION 13 OR 15(d) OF THE SECURITIES EXCHANGE ACT OF 1934</w:t>
      </w:r>
    </w:p>
    <w:p>
      <w:pPr>
        <w:spacing w:after="0" w:line="2" w:lineRule="exact"/>
        <w:rPr>
          <w:sz w:val="24"/>
          <w:szCs w:val="24"/>
          <w:color w:val="auto"/>
        </w:rPr>
      </w:pPr>
    </w:p>
    <w:p>
      <w:pPr>
        <w:ind w:left="348"/>
        <w:spacing w:after="0"/>
        <w:tabs>
          <w:tab w:leader="none" w:pos="3208"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4"/>
          <w:szCs w:val="14"/>
          <w:color w:val="auto"/>
        </w:rPr>
        <w:t>to .</w:t>
      </w:r>
    </w:p>
    <w:p>
      <w:pPr>
        <w:spacing w:after="0" w:line="174"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Commission File Number 1-644</w:t>
      </w:r>
    </w:p>
    <w:p>
      <w:pPr>
        <w:spacing w:after="0" w:line="174"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048"/>
        <w:spacing w:after="0"/>
        <w:rPr>
          <w:sz w:val="20"/>
          <w:szCs w:val="20"/>
          <w:color w:val="auto"/>
        </w:rPr>
      </w:pPr>
      <w:r>
        <w:rPr>
          <w:rFonts w:ascii="Courier New" w:cs="Courier New" w:eastAsia="Courier New" w:hAnsi="Courier New"/>
          <w:sz w:val="15"/>
          <w:szCs w:val="15"/>
          <w:color w:val="auto"/>
        </w:rPr>
        <w:t>[LOGO] Colgate-Palmolive Company</w:t>
      </w:r>
    </w:p>
    <w:p>
      <w:pPr>
        <w:spacing w:after="0" w:line="174" w:lineRule="exact"/>
        <w:rPr>
          <w:sz w:val="24"/>
          <w:szCs w:val="24"/>
          <w:color w:val="auto"/>
        </w:rPr>
      </w:pPr>
    </w:p>
    <w:p>
      <w:pPr>
        <w:ind w:left="1068"/>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p>
      <w:pPr>
        <w:ind w:left="1348"/>
        <w:spacing w:after="0"/>
        <w:tabs>
          <w:tab w:leader="none" w:pos="4728"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4"/>
          <w:szCs w:val="14"/>
          <w:color w:val="auto"/>
        </w:rPr>
        <w:t>13-1815595</w:t>
      </w:r>
    </w:p>
    <w:p>
      <w:pPr>
        <w:spacing w:after="0" w:line="2" w:lineRule="exact"/>
        <w:rPr>
          <w:sz w:val="24"/>
          <w:szCs w:val="24"/>
          <w:color w:val="auto"/>
        </w:rPr>
      </w:pPr>
    </w:p>
    <w:p>
      <w:pPr>
        <w:ind w:left="348"/>
        <w:spacing w:after="0"/>
        <w:tabs>
          <w:tab w:leader="none" w:pos="3548"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 Identification No.)</w:t>
      </w:r>
    </w:p>
    <w:p>
      <w:pPr>
        <w:spacing w:after="0" w:line="2"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incorporation or organization)</w:t>
      </w:r>
    </w:p>
    <w:p>
      <w:pPr>
        <w:spacing w:after="0" w:line="174" w:lineRule="exact"/>
        <w:rPr>
          <w:sz w:val="24"/>
          <w:szCs w:val="24"/>
          <w:color w:val="auto"/>
        </w:rPr>
      </w:pPr>
    </w:p>
    <w:p>
      <w:pPr>
        <w:ind w:left="188"/>
        <w:spacing w:after="0"/>
        <w:tabs>
          <w:tab w:leader="none" w:pos="4988" w:val="left"/>
        </w:tabs>
        <w:rPr>
          <w:sz w:val="20"/>
          <w:szCs w:val="20"/>
          <w:color w:val="auto"/>
        </w:rPr>
      </w:pPr>
      <w:r>
        <w:rPr>
          <w:rFonts w:ascii="Courier New" w:cs="Courier New" w:eastAsia="Courier New" w:hAnsi="Courier New"/>
          <w:sz w:val="15"/>
          <w:szCs w:val="15"/>
          <w:color w:val="auto"/>
        </w:rPr>
        <w:t>300 Park Avenue, New York, New York</w:t>
      </w:r>
      <w:r>
        <w:rPr>
          <w:sz w:val="20"/>
          <w:szCs w:val="20"/>
          <w:color w:val="auto"/>
        </w:rPr>
        <w:tab/>
      </w:r>
      <w:r>
        <w:rPr>
          <w:rFonts w:ascii="Courier New" w:cs="Courier New" w:eastAsia="Courier New" w:hAnsi="Courier New"/>
          <w:sz w:val="14"/>
          <w:szCs w:val="14"/>
          <w:color w:val="auto"/>
        </w:rPr>
        <w:t>10022</w:t>
      </w:r>
    </w:p>
    <w:p>
      <w:pPr>
        <w:spacing w:after="0" w:line="2" w:lineRule="exact"/>
        <w:rPr>
          <w:sz w:val="24"/>
          <w:szCs w:val="24"/>
          <w:color w:val="auto"/>
        </w:rPr>
      </w:pPr>
    </w:p>
    <w:p>
      <w:pPr>
        <w:ind w:left="348"/>
        <w:spacing w:after="0"/>
        <w:tabs>
          <w:tab w:leader="none" w:pos="4728" w:val="left"/>
        </w:tabs>
        <w:rPr>
          <w:sz w:val="20"/>
          <w:szCs w:val="20"/>
          <w:color w:val="auto"/>
        </w:rPr>
      </w:pPr>
      <w:r>
        <w:rPr>
          <w:rFonts w:ascii="Courier New" w:cs="Courier New" w:eastAsia="Courier New" w:hAnsi="Courier New"/>
          <w:sz w:val="15"/>
          <w:szCs w:val="15"/>
          <w:color w:val="auto"/>
        </w:rPr>
        <w:t>(Address of principal executive</w:t>
      </w:r>
      <w:r>
        <w:rPr>
          <w:sz w:val="20"/>
          <w:szCs w:val="20"/>
          <w:color w:val="auto"/>
        </w:rPr>
        <w:tab/>
      </w:r>
      <w:r>
        <w:rPr>
          <w:rFonts w:ascii="Courier New" w:cs="Courier New" w:eastAsia="Courier New" w:hAnsi="Courier New"/>
          <w:sz w:val="14"/>
          <w:szCs w:val="14"/>
          <w:color w:val="auto"/>
        </w:rPr>
        <w:t>(Zip Code)</w:t>
      </w:r>
    </w:p>
    <w:p>
      <w:pPr>
        <w:spacing w:after="0" w:line="2"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offices)</w:t>
      </w:r>
    </w:p>
    <w:p>
      <w:pPr>
        <w:spacing w:after="0" w:line="174" w:lineRule="exact"/>
        <w:rPr>
          <w:sz w:val="24"/>
          <w:szCs w:val="24"/>
          <w:color w:val="auto"/>
        </w:rPr>
      </w:pPr>
    </w:p>
    <w:p>
      <w:pPr>
        <w:jc w:val="center"/>
        <w:ind w:right="3171"/>
        <w:spacing w:after="0"/>
        <w:rPr>
          <w:sz w:val="20"/>
          <w:szCs w:val="20"/>
          <w:color w:val="auto"/>
        </w:rPr>
      </w:pPr>
      <w:r>
        <w:rPr>
          <w:rFonts w:ascii="Courier New" w:cs="Courier New" w:eastAsia="Courier New" w:hAnsi="Courier New"/>
          <w:sz w:val="15"/>
          <w:szCs w:val="15"/>
          <w:color w:val="auto"/>
        </w:rPr>
        <w:t>Registrant's telephone number, including area code 212-310-2000</w:t>
      </w:r>
    </w:p>
    <w:p>
      <w:pPr>
        <w:spacing w:after="0" w:line="2" w:lineRule="exact"/>
        <w:rPr>
          <w:sz w:val="24"/>
          <w:szCs w:val="24"/>
          <w:color w:val="auto"/>
        </w:rPr>
      </w:pPr>
    </w:p>
    <w:p>
      <w:pPr>
        <w:jc w:val="center"/>
        <w:ind w:right="3171"/>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74" w:lineRule="exact"/>
        <w:rPr>
          <w:sz w:val="24"/>
          <w:szCs w:val="24"/>
          <w:color w:val="auto"/>
        </w:rPr>
      </w:pPr>
    </w:p>
    <w:tbl>
      <w:tblPr>
        <w:tblLayout w:type="fixed"/>
        <w:tblInd w:w="188" w:type="dxa"/>
        <w:tblCellMar>
          <w:top w:w="0" w:type="dxa"/>
          <w:left w:w="0" w:type="dxa"/>
          <w:bottom w:w="0" w:type="dxa"/>
          <w:right w:w="0" w:type="dxa"/>
        </w:tblCellMar>
      </w:tblPr>
      <w:tr>
        <w:trPr>
          <w:trHeight w:val="170"/>
        </w:trPr>
        <w:tc>
          <w:tcPr>
            <w:tcW w:w="33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Title of each class</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Name of each</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w w:val="98"/>
              </w:rPr>
              <w:t>exchange on which</w:t>
            </w:r>
          </w:p>
        </w:tc>
      </w:tr>
      <w:tr>
        <w:trPr>
          <w:trHeight w:val="172"/>
        </w:trPr>
        <w:tc>
          <w:tcPr>
            <w:tcW w:w="3340" w:type="dxa"/>
            <w:vAlign w:val="bottom"/>
          </w:tcPr>
          <w:p>
            <w:pPr>
              <w:spacing w:after="0"/>
              <w:rPr>
                <w:sz w:val="14"/>
                <w:szCs w:val="14"/>
                <w:color w:val="auto"/>
              </w:rPr>
            </w:pPr>
          </w:p>
        </w:tc>
        <w:tc>
          <w:tcPr>
            <w:tcW w:w="3000" w:type="dxa"/>
            <w:vAlign w:val="bottom"/>
            <w:gridSpan w:val="2"/>
          </w:tcPr>
          <w:p>
            <w:pPr>
              <w:ind w:left="1220"/>
              <w:spacing w:after="0"/>
              <w:rPr>
                <w:sz w:val="20"/>
                <w:szCs w:val="20"/>
                <w:color w:val="auto"/>
              </w:rPr>
            </w:pPr>
            <w:r>
              <w:rPr>
                <w:rFonts w:ascii="Courier New" w:cs="Courier New" w:eastAsia="Courier New" w:hAnsi="Courier New"/>
                <w:sz w:val="15"/>
                <w:szCs w:val="15"/>
                <w:color w:val="auto"/>
              </w:rPr>
              <w:t>registered</w:t>
            </w: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$4.25 Preferred Stock, without par</w:t>
            </w: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2"/>
        </w:trPr>
        <w:tc>
          <w:tcPr>
            <w:tcW w:w="33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value,cumulative dividend</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New York</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Stock Exchange</w:t>
            </w:r>
          </w:p>
        </w:tc>
      </w:tr>
      <w:tr>
        <w:trPr>
          <w:trHeight w:val="516"/>
        </w:trPr>
        <w:tc>
          <w:tcPr>
            <w:tcW w:w="33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Common Stock, $1.00 par value</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New York</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Stock Exchange</w:t>
            </w:r>
          </w:p>
        </w:tc>
      </w:tr>
    </w:tbl>
    <w:p>
      <w:pPr>
        <w:spacing w:after="0" w:line="176" w:lineRule="exact"/>
        <w:rPr>
          <w:sz w:val="24"/>
          <w:szCs w:val="24"/>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w:t>
      </w:r>
    </w:p>
    <w:p>
      <w:pPr>
        <w:spacing w:after="0" w:line="175" w:lineRule="exact"/>
        <w:rPr>
          <w:sz w:val="24"/>
          <w:szCs w:val="24"/>
          <w:color w:val="auto"/>
        </w:rPr>
      </w:pPr>
    </w:p>
    <w:p>
      <w:pPr>
        <w:ind w:left="8" w:right="3439" w:firstLine="179"/>
        <w:spacing w:after="0" w:line="242"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X ]</w:t>
      </w:r>
    </w:p>
    <w:p>
      <w:pPr>
        <w:spacing w:after="0" w:line="175" w:lineRule="exact"/>
        <w:rPr>
          <w:sz w:val="24"/>
          <w:szCs w:val="24"/>
          <w:color w:val="auto"/>
        </w:rPr>
      </w:pPr>
    </w:p>
    <w:p>
      <w:pPr>
        <w:ind w:left="8" w:right="3519" w:firstLine="179"/>
        <w:spacing w:after="0" w:line="241" w:lineRule="auto"/>
        <w:rPr>
          <w:sz w:val="20"/>
          <w:szCs w:val="20"/>
          <w:color w:val="auto"/>
        </w:rPr>
      </w:pPr>
      <w:r>
        <w:rPr>
          <w:rFonts w:ascii="Courier New" w:cs="Courier New" w:eastAsia="Courier New" w:hAnsi="Courier New"/>
          <w:sz w:val="15"/>
          <w:szCs w:val="15"/>
          <w:color w:val="auto"/>
        </w:rPr>
        <w:t>At February 28, 2001 the aggregate market value of stock held by non-affiliates was $33.3 billion. There were 563,630,696 shares of Common Stock outstanding as of February 28, 2001.</w:t>
      </w:r>
    </w:p>
    <w:p>
      <w:pPr>
        <w:spacing w:after="0" w:line="174"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DOCUMENTS INCORPORATED BY REFERENCE:</w:t>
      </w:r>
    </w:p>
    <w:p>
      <w:pPr>
        <w:sectPr>
          <w:pgSz w:w="11900" w:h="16838" w:orient="portrait"/>
          <w:cols w:equalWidth="0" w:num="1">
            <w:col w:w="10227"/>
          </w:cols>
          <w:pgMar w:left="232" w:top="575" w:right="1440" w:bottom="1440" w:gutter="0" w:footer="0" w:header="0"/>
        </w:sectPr>
      </w:pPr>
    </w:p>
    <w:p>
      <w:pPr>
        <w:spacing w:after="0" w:line="176" w:lineRule="exact"/>
        <w:rPr>
          <w:sz w:val="24"/>
          <w:szCs w:val="24"/>
          <w:color w:val="auto"/>
        </w:rPr>
      </w:pPr>
    </w:p>
    <w:p>
      <w:pPr>
        <w:ind w:left="1348"/>
        <w:spacing w:after="0"/>
        <w:rPr>
          <w:sz w:val="20"/>
          <w:szCs w:val="20"/>
          <w:color w:val="auto"/>
        </w:rPr>
      </w:pPr>
      <w:r>
        <w:rPr>
          <w:rFonts w:ascii="Courier New" w:cs="Courier New" w:eastAsia="Courier New" w:hAnsi="Courier New"/>
          <w:sz w:val="14"/>
          <w:szCs w:val="14"/>
          <w:color w:val="auto"/>
        </w:rPr>
        <w:t>Documents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10-K Reference</w:t>
      </w:r>
    </w:p>
    <w:p>
      <w:pPr>
        <w:spacing w:after="0" w:line="200" w:lineRule="exact"/>
        <w:rPr>
          <w:sz w:val="24"/>
          <w:szCs w:val="24"/>
          <w:color w:val="auto"/>
        </w:rPr>
      </w:pPr>
    </w:p>
    <w:p>
      <w:pPr>
        <w:sectPr>
          <w:pgSz w:w="11900" w:h="16838" w:orient="portrait"/>
          <w:cols w:equalWidth="0" w:num="2">
            <w:col w:w="3668" w:space="720"/>
            <w:col w:w="5839"/>
          </w:cols>
          <w:pgMar w:left="232" w:top="575" w:right="1440" w:bottom="1440" w:gutter="0" w:footer="0" w:header="0"/>
          <w:type w:val="continuous"/>
        </w:sectPr>
      </w:pPr>
    </w:p>
    <w:p>
      <w:pPr>
        <w:spacing w:after="0" w:line="157" w:lineRule="exact"/>
        <w:rPr>
          <w:sz w:val="24"/>
          <w:szCs w:val="24"/>
          <w:color w:val="auto"/>
        </w:rPr>
      </w:pPr>
    </w:p>
    <w:p>
      <w:pPr>
        <w:jc w:val="center"/>
        <w:ind w:left="188"/>
        <w:spacing w:after="0"/>
        <w:rPr>
          <w:sz w:val="20"/>
          <w:szCs w:val="20"/>
          <w:color w:val="auto"/>
        </w:rPr>
      </w:pPr>
      <w:r>
        <w:rPr>
          <w:rFonts w:ascii="Courier New" w:cs="Courier New" w:eastAsia="Courier New" w:hAnsi="Courier New"/>
          <w:sz w:val="14"/>
          <w:szCs w:val="14"/>
          <w:color w:val="auto"/>
        </w:rPr>
        <w:t>Portions of Proxy Statement for the</w:t>
      </w:r>
    </w:p>
    <w:p>
      <w:pPr>
        <w:spacing w:after="0" w:line="12" w:lineRule="exact"/>
        <w:rPr>
          <w:sz w:val="24"/>
          <w:szCs w:val="24"/>
          <w:color w:val="auto"/>
        </w:rPr>
      </w:pPr>
    </w:p>
    <w:p>
      <w:pPr>
        <w:jc w:val="center"/>
        <w:ind w:left="188"/>
        <w:spacing w:after="0"/>
        <w:rPr>
          <w:sz w:val="20"/>
          <w:szCs w:val="20"/>
          <w:color w:val="auto"/>
        </w:rPr>
      </w:pPr>
      <w:r>
        <w:rPr>
          <w:rFonts w:ascii="Courier New" w:cs="Courier New" w:eastAsia="Courier New" w:hAnsi="Courier New"/>
          <w:sz w:val="15"/>
          <w:szCs w:val="15"/>
          <w:color w:val="auto"/>
        </w:rPr>
        <w:t>2001 Annual Meeting</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III, Items 10 through 13</w:t>
      </w:r>
    </w:p>
    <w:p>
      <w:pPr>
        <w:sectPr>
          <w:pgSz w:w="11900" w:h="16838" w:orient="portrait"/>
          <w:cols w:equalWidth="0" w:num="2">
            <w:col w:w="3308" w:space="620"/>
            <w:col w:w="6299"/>
          </w:cols>
          <w:pgMar w:left="232" w:top="575" w:right="1440" w:bottom="1440" w:gutter="0" w:footer="0" w:header="0"/>
          <w:type w:val="continuous"/>
        </w:sectPr>
      </w:pPr>
    </w:p>
    <w:bookmarkStart w:id="1" w:name="page2"/>
    <w:bookmarkEnd w:id="1"/>
    <w:p>
      <w:pPr>
        <w:ind w:left="3220"/>
        <w:spacing w:after="0"/>
        <w:rPr>
          <w:sz w:val="20"/>
          <w:szCs w:val="20"/>
          <w:color w:val="auto"/>
        </w:rPr>
      </w:pPr>
      <w:r>
        <w:rPr>
          <w:rFonts w:ascii="Courier New" w:cs="Courier New" w:eastAsia="Courier New" w:hAnsi="Courier New"/>
          <w:sz w:val="15"/>
          <w:szCs w:val="15"/>
          <w:color w:val="auto"/>
        </w:rPr>
        <w:t>PART 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 General Development of the Business</w:t>
      </w:r>
    </w:p>
    <w:p>
      <w:pPr>
        <w:spacing w:after="0" w:line="176"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Colgate-Palmolive Company (together with its subsidiaries, the "Company"), which was organized under the laws of the State of Delaware in 1923, is a leading consumer products company whose products are marketed in over 200 countries and territories throughout the world.</w:t>
      </w:r>
    </w:p>
    <w:p>
      <w:pPr>
        <w:spacing w:after="0" w:line="175" w:lineRule="exact"/>
        <w:rPr>
          <w:sz w:val="20"/>
          <w:szCs w:val="20"/>
          <w:color w:val="auto"/>
        </w:rPr>
      </w:pPr>
    </w:p>
    <w:p>
      <w:pPr>
        <w:jc w:val="both"/>
        <w:ind w:right="3439" w:firstLine="179"/>
        <w:spacing w:after="0" w:line="241" w:lineRule="auto"/>
        <w:rPr>
          <w:sz w:val="20"/>
          <w:szCs w:val="20"/>
          <w:color w:val="auto"/>
        </w:rPr>
      </w:pPr>
      <w:r>
        <w:rPr>
          <w:rFonts w:ascii="Courier New" w:cs="Courier New" w:eastAsia="Courier New" w:hAnsi="Courier New"/>
          <w:sz w:val="15"/>
          <w:szCs w:val="15"/>
          <w:color w:val="auto"/>
        </w:rPr>
        <w:t>For recent business developments, refer to the information set forth under the captions "Results of Operations", "Liquidity and Capital Resources" and "Outlook" in Part II, Item 7 of this report.</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 Financial Information About Industry Segments</w:t>
      </w:r>
    </w:p>
    <w:p>
      <w:pPr>
        <w:spacing w:after="0" w:line="176" w:lineRule="exact"/>
        <w:rPr>
          <w:sz w:val="20"/>
          <w:szCs w:val="20"/>
          <w:color w:val="auto"/>
        </w:rPr>
      </w:pPr>
    </w:p>
    <w:p>
      <w:pPr>
        <w:jc w:val="both"/>
        <w:ind w:right="3439" w:firstLine="179"/>
        <w:spacing w:after="0" w:line="241" w:lineRule="auto"/>
        <w:rPr>
          <w:sz w:val="20"/>
          <w:szCs w:val="20"/>
          <w:color w:val="auto"/>
        </w:rPr>
      </w:pPr>
      <w:r>
        <w:rPr>
          <w:rFonts w:ascii="Courier New" w:cs="Courier New" w:eastAsia="Courier New" w:hAnsi="Courier New"/>
          <w:sz w:val="15"/>
          <w:szCs w:val="15"/>
          <w:color w:val="auto"/>
        </w:rPr>
        <w:t>Worldwide net sales and earnings by business segment and geographic region during the last three years appear under the caption "Results of Operations" in Part II, Item 7 of this report on pages 6 and 7.</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 Narrative Description of the Business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manages its business in two distinct product segments: Oral, Personal and Household Care, and Pet Nutrition. Colgate is a global leader in Oral Care with the leading toothpaste brand in the U.S. and throughout many parts of the world. Colgate's Oral Care products include toothbrushes, toothpaste, mouth rinses and dental floss, and pharmaceutical products for dentists and other oral health professionals. Significant recent product launches in this segment include Colgate Fresh Confidence, Colgate Sparkling White and Colgate Total Plus Whitening toothpastes, and the Colgate Actibrush battery-powered toothbrush.</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Colgate leads many segments of the Personal Care market with several products including bar and liquid soaps, shampoos, conditioners, deodorants and antiperspirants and shave products. Colgate is the market leader in liquid soaps in the U.S. and globally is the market leader in male deodorant sticks. Strong brands in this segment include Irish Spring, Softsoap brand liquid soap and Palmolive, which is available as a soap and, in many countries, as a shampoo and conditioner. Colgate also manufactures and markets Mennen deodorants and men's toiletries.</w:t>
      </w:r>
    </w:p>
    <w:p>
      <w:pPr>
        <w:spacing w:after="0" w:line="177"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Colgate manufactures and markets a wide array of products for Household Care. Major products include Palmolive and Ajax dishwashing liquid and antibacterial hand soaps and new Palmolive Spring Sensations dishwashing liquid. Colgate also markets other household names in cleaning and laundry products such as Fab, Ajax and Murphy's oil soap which is North America's leading wood floor cleaner. In the Company's major markets outside the U.S., Colgate is number one in fabric softeners with leading brands Suavitel in Latin America, Soupline in Europe and Softlan in Asia.</w:t>
      </w:r>
    </w:p>
    <w:p>
      <w:pPr>
        <w:spacing w:after="0" w:line="177"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Sales of Oral, Personal, Household and Fabric Care products accounted for 34%, 24%, 16% and 14% of total worldwide sales in 2000, respectively. Geographically, Oral Care is a significant part of the Company's business in Asia/Africa, comprising approximately 54% of sales in that region for 2000. See also Note 1 to the Consolidated Financial Statements.</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Colgate, through its Hill's Pet Nutrition subsidiary, is the world leader in specialty pet nutrition products for dogs and cats. Hill's markets pet foods primarily under two trademarks: Science Diet, which is sold by authorized pet supply retailers, breeders and veterinarians for every day nutritional needs, and Prescription Diet for dogs and cats with disease conditions. Hill's recently relaunched the entire Science Diet line and added several innovative products to both the Science Diet and Prescription Diet brands. Hill's sells its products in 85 countries and leads the premium pet food segment in Japan. Sales of Pet Nutrition products accounted for 12% of total worldwide sales in 2000.</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Strong research and development capabilities enable Colgate to support its many brands with technologically sophisticated products for consumers' personal needs and pet nutrition needs. During 2000, the Company spent $176.1 million on research and development activities.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Competition; Trademarks and Patents</w:t>
      </w:r>
    </w:p>
    <w:p>
      <w:pPr>
        <w:spacing w:after="0" w:line="176"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The Company's products are generally marketed by a direct sales force at each individual operating subsidiary or business unit. In some instances, distributors or brokers are used. No single customer accounts for as much as 10% of the Company's sales.</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Most raw materials are purchased from other companies and are available from several sources. While it is generally the Company's policy to streamline supply chain sources, raw materials used in the manufacture of the Company's products are generally available in adequate supply. Raw material commodities such as tallow and essential oils are subject to wide price variations. No one raw material represents a significant portion of the Company's total material requirements.</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Company's products are marketed under highly competitive conditions. Products similar to those produced and sold by the Company are available from competitors in the U.S. and overseas. Certain of the Company's competitors are larger and have greater resources than the Company. Product quality, brand recognition and acceptance and marketing capability largely determine success in the Company's business segments.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Trademarks are considered to be of material importance to the Company's business. The Company follows a practice of seeking trademark protection by all available means in the United States and throughout the world where the Company's products are sold. Principal global trademarks include Colgate, Palmolive, Mennen, Protex, Ajax, Soupline, Suavitel, Fab, Science Diet and Prescription Diet in addition to several regional trademarks. These trademarks are of significant importance to the Company and its subsidiaries within their markets. The Company's rights in these trademarks endure for as long as they are used and registered. Although the Company owns a number of patents, no one patent is considered significant to the business as a whole.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519" w:firstLine="179"/>
        <w:spacing w:after="0"/>
        <w:rPr>
          <w:sz w:val="20"/>
          <w:szCs w:val="20"/>
          <w:color w:val="auto"/>
        </w:rPr>
      </w:pPr>
      <w:r>
        <w:rPr>
          <w:rFonts w:ascii="Courier New" w:cs="Courier New" w:eastAsia="Courier New" w:hAnsi="Courier New"/>
          <w:sz w:val="15"/>
          <w:szCs w:val="15"/>
          <w:color w:val="auto"/>
        </w:rPr>
        <w:t>At year-end, the Company employed approximately 38,300 employees of which approximately 80% were located outside the United States.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Compliance with environmental rules and regulations has not significantly affected the Company's earnings or competitive position. Capital expenditures for environmental control facilities totaled $15.3 million for 2000. For future years, expenditures are expected to be in the same range. The Company has programs that are designed to ensure that its operations and facilities meet or exceed applicable rules and regulations. Please refer to Note 14 to the Consolidated Financial Statements.</w:t>
      </w:r>
    </w:p>
    <w:p>
      <w:pPr>
        <w:spacing w:after="0" w:line="177" w:lineRule="exact"/>
        <w:rPr>
          <w:sz w:val="20"/>
          <w:szCs w:val="20"/>
          <w:color w:val="auto"/>
        </w:rPr>
      </w:pPr>
    </w:p>
    <w:p>
      <w:pPr>
        <w:ind w:left="80" w:right="3519" w:firstLine="1"/>
        <w:spacing w:after="0"/>
        <w:tabs>
          <w:tab w:leader="none" w:pos="43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About Foreign and Domestic Operations and Export Sales</w:t>
      </w:r>
    </w:p>
    <w:p>
      <w:pPr>
        <w:spacing w:after="0" w:line="176" w:lineRule="exact"/>
        <w:rPr>
          <w:sz w:val="20"/>
          <w:szCs w:val="20"/>
          <w:color w:val="auto"/>
        </w:rPr>
      </w:pPr>
    </w:p>
    <w:p>
      <w:pPr>
        <w:ind w:right="3519" w:firstLine="179"/>
        <w:spacing w:after="0" w:line="241" w:lineRule="auto"/>
        <w:rPr>
          <w:sz w:val="20"/>
          <w:szCs w:val="20"/>
          <w:color w:val="auto"/>
        </w:rPr>
      </w:pPr>
      <w:r>
        <w:rPr>
          <w:rFonts w:ascii="Courier New" w:cs="Courier New" w:eastAsia="Courier New" w:hAnsi="Courier New"/>
          <w:sz w:val="15"/>
          <w:szCs w:val="15"/>
          <w:color w:val="auto"/>
        </w:rPr>
        <w:t>For information concerning geographic area financial data refer to the information set forth under the caption "Results of Operations" in Part II, Item 7 of this report.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ITEM 2. PROPERTIES</w:t>
      </w:r>
    </w:p>
    <w:p>
      <w:pPr>
        <w:spacing w:after="0" w:line="176" w:lineRule="exact"/>
        <w:rPr>
          <w:sz w:val="20"/>
          <w:szCs w:val="20"/>
          <w:color w:val="auto"/>
        </w:rPr>
      </w:pPr>
    </w:p>
    <w:p>
      <w:pPr>
        <w:ind w:right="3339" w:firstLine="179"/>
        <w:spacing w:after="0" w:line="241" w:lineRule="auto"/>
        <w:rPr>
          <w:sz w:val="20"/>
          <w:szCs w:val="20"/>
          <w:color w:val="auto"/>
        </w:rPr>
      </w:pPr>
      <w:r>
        <w:rPr>
          <w:rFonts w:ascii="Courier New" w:cs="Courier New" w:eastAsia="Courier New" w:hAnsi="Courier New"/>
          <w:sz w:val="15"/>
          <w:szCs w:val="15"/>
          <w:color w:val="auto"/>
        </w:rPr>
        <w:t>The Company owns and leases a total of 280 manufacturing, distribution, research and office facilities worldwide. Corporate headquarters is housed in leased facilities at 300 Park Avenue, New York, New York.</w:t>
      </w:r>
    </w:p>
    <w:p>
      <w:pPr>
        <w:spacing w:after="0" w:line="176" w:lineRule="exact"/>
        <w:rPr>
          <w:sz w:val="20"/>
          <w:szCs w:val="20"/>
          <w:color w:val="auto"/>
        </w:rPr>
      </w:pPr>
    </w:p>
    <w:p>
      <w:pPr>
        <w:ind w:right="3259" w:firstLine="179"/>
        <w:spacing w:after="0" w:line="262" w:lineRule="auto"/>
        <w:rPr>
          <w:sz w:val="20"/>
          <w:szCs w:val="20"/>
          <w:color w:val="auto"/>
        </w:rPr>
      </w:pPr>
      <w:r>
        <w:rPr>
          <w:rFonts w:ascii="Courier New" w:cs="Courier New" w:eastAsia="Courier New" w:hAnsi="Courier New"/>
          <w:sz w:val="14"/>
          <w:szCs w:val="14"/>
          <w:color w:val="auto"/>
        </w:rPr>
        <w:t>In the United States, the Company operates 43 facilities, of which 21 are owned. Major U.S. manufacturing and warehousing facilities used by the Oral, Personal and Household Care segment are located in Kansas City, Kansas; Morristown, New Jersey; Jeffersonville, Indiana, and Cambridge, Ohio. The Pet Nutrition segment has major facilities in Bowling Green, Kentucky; Topeka, Kansas; Commerce, California; and Richmond, Indiana. Research facilities are located throughout the world with the primary research center for Oral, Personal and Household Care products located in Piscataway, New Jersey and the primary research center for Pet Nutrition products located in Topeka, Kansas.</w:t>
      </w:r>
    </w:p>
    <w:p>
      <w:pPr>
        <w:spacing w:after="0" w:line="162"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Overseas, the Company operates 237 facilities, of which 92 are owned, in over 70 countries. Major overseas facilities used by the Oral, Personal and Household Care segment are located in Australia, Brazil, Canada, China, Colombia, France, Italy, Mexico, Thailand, the United Kingdom and elsewhere throughout the world. In some areas outside the United States, products are either manufactured by independent contractors under Company specifications or are imported from the United States or elsewhere.</w:t>
      </w:r>
    </w:p>
    <w:p>
      <w:pPr>
        <w:spacing w:after="0" w:line="177"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All facilities operated by the Company are, in general, well maintained and adequate for the purpose for which they are intended. The Company conducts continuing reviews of its facilities with the view to modernization and cost reduction.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1995, the Company acquired the Kolynos oral care business from American Home Products, as described in the Company's Form 8-K dated January 10, 1995. On September 8, 1998, the Company's Brazilian subsidiary received notice of an administrative proceeding from the Central Bank of Brazil primarily taking issue with certain filings made with the Central Bank in connection with the financing of this strategic transaction, but in no way challenging or seeking to unwind the acquisition. The Central Bank of Brazil in January 2001 notified the Company of its decision in this administrative proceeding to impose a fine which, at current exchange rates, approximates $125 million. The Company has appealed the decision to the Brazilian Monetary System Appeals Council, thereby suspending the fine pending the decision of the Council. Further appeals are available within the Brazilian federal courts. Management believes, based on the opinion of its Brazilian legal counsel and other experts, that the filings challenged by the Central Bank fully complied with Brazilian law and that the Company will prevail on appeal. The Company intends to challenge this fine vigorously.</w:t>
      </w:r>
    </w:p>
    <w:p>
      <w:pPr>
        <w:spacing w:after="0" w:line="183" w:lineRule="exact"/>
        <w:rPr>
          <w:sz w:val="20"/>
          <w:szCs w:val="20"/>
          <w:color w:val="auto"/>
        </w:rPr>
      </w:pPr>
    </w:p>
    <w:p>
      <w:pPr>
        <w:ind w:right="3879" w:firstLine="179"/>
        <w:spacing w:after="0"/>
        <w:rPr>
          <w:sz w:val="20"/>
          <w:szCs w:val="20"/>
          <w:color w:val="auto"/>
        </w:rPr>
      </w:pPr>
      <w:r>
        <w:rPr>
          <w:rFonts w:ascii="Courier New" w:cs="Courier New" w:eastAsia="Courier New" w:hAnsi="Courier New"/>
          <w:sz w:val="15"/>
          <w:szCs w:val="15"/>
          <w:color w:val="auto"/>
        </w:rPr>
        <w:t>For information regarding other legal matters refer to Note 14 of the Consolidated Financial Statements included herein.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following is a list of executive officers as of March 28, 2001:</w:t>
      </w:r>
    </w:p>
    <w:p>
      <w:pPr>
        <w:spacing w:after="0" w:line="200" w:lineRule="exact"/>
        <w:rPr>
          <w:sz w:val="20"/>
          <w:szCs w:val="20"/>
          <w:color w:val="auto"/>
        </w:rPr>
      </w:pPr>
    </w:p>
    <w:p>
      <w:pPr>
        <w:spacing w:after="0" w:line="31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 First</w:t>
            </w:r>
          </w:p>
        </w:tc>
        <w:tc>
          <w:tcPr>
            <w:tcW w:w="326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Courier New" w:cs="Courier New" w:eastAsia="Courier New" w:hAnsi="Courier New"/>
                <w:sz w:val="15"/>
                <w:szCs w:val="15"/>
                <w:color w:val="auto"/>
              </w:rPr>
              <w:t>Elected</w:t>
            </w:r>
          </w:p>
        </w:tc>
        <w:tc>
          <w:tcPr>
            <w:tcW w:w="3260" w:type="dxa"/>
            <w:vAlign w:val="bottom"/>
          </w:tcPr>
          <w:p>
            <w:pPr>
              <w:spacing w:after="0"/>
              <w:rPr>
                <w:sz w:val="14"/>
                <w:szCs w:val="14"/>
                <w:color w:val="auto"/>
              </w:rPr>
            </w:pPr>
          </w:p>
        </w:tc>
      </w:tr>
      <w:tr>
        <w:trPr>
          <w:trHeight w:val="172"/>
        </w:trPr>
        <w:tc>
          <w:tcPr>
            <w:tcW w:w="1960" w:type="dxa"/>
            <w:vAlign w:val="bottom"/>
          </w:tcPr>
          <w:p>
            <w:pPr>
              <w:ind w:left="800"/>
              <w:spacing w:after="0"/>
              <w:rPr>
                <w:sz w:val="20"/>
                <w:szCs w:val="20"/>
                <w:color w:val="auto"/>
              </w:rPr>
            </w:pPr>
            <w:r>
              <w:rPr>
                <w:rFonts w:ascii="Courier New" w:cs="Courier New" w:eastAsia="Courier New" w:hAnsi="Courier New"/>
                <w:sz w:val="15"/>
                <w:szCs w:val="15"/>
                <w:color w:val="auto"/>
              </w:rPr>
              <w:t>Name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Age</w:t>
            </w:r>
          </w:p>
        </w:tc>
        <w:tc>
          <w:tcPr>
            <w:tcW w:w="980" w:type="dxa"/>
            <w:vAlign w:val="bottom"/>
          </w:tcPr>
          <w:p>
            <w:pPr>
              <w:ind w:left="120"/>
              <w:spacing w:after="0"/>
              <w:rPr>
                <w:sz w:val="20"/>
                <w:szCs w:val="20"/>
                <w:color w:val="auto"/>
              </w:rPr>
            </w:pPr>
            <w:r>
              <w:rPr>
                <w:rFonts w:ascii="Courier New" w:cs="Courier New" w:eastAsia="Courier New" w:hAnsi="Courier New"/>
                <w:sz w:val="15"/>
                <w:szCs w:val="15"/>
                <w:color w:val="auto"/>
              </w:rPr>
              <w:t>Officer</w:t>
            </w:r>
          </w:p>
        </w:tc>
        <w:tc>
          <w:tcPr>
            <w:tcW w:w="3260" w:type="dxa"/>
            <w:vAlign w:val="bottom"/>
          </w:tcPr>
          <w:p>
            <w:pPr>
              <w:ind w:left="1120"/>
              <w:spacing w:after="0"/>
              <w:rPr>
                <w:sz w:val="20"/>
                <w:szCs w:val="20"/>
                <w:color w:val="auto"/>
              </w:rPr>
            </w:pPr>
            <w:r>
              <w:rPr>
                <w:rFonts w:ascii="Courier New" w:cs="Courier New" w:eastAsia="Courier New" w:hAnsi="Courier New"/>
                <w:sz w:val="15"/>
                <w:szCs w:val="15"/>
                <w:color w:val="auto"/>
              </w:rPr>
              <w:t>Present Title</w:t>
            </w:r>
          </w:p>
        </w:tc>
      </w:tr>
      <w:tr>
        <w:trPr>
          <w:trHeight w:val="172"/>
        </w:trPr>
        <w:tc>
          <w:tcPr>
            <w:tcW w:w="196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r>
      <w:tr>
        <w:trPr>
          <w:trHeight w:val="516"/>
        </w:trPr>
        <w:tc>
          <w:tcPr>
            <w:tcW w:w="1960" w:type="dxa"/>
            <w:vAlign w:val="bottom"/>
          </w:tcPr>
          <w:p>
            <w:pPr>
              <w:spacing w:after="0"/>
              <w:rPr>
                <w:sz w:val="20"/>
                <w:szCs w:val="20"/>
                <w:color w:val="auto"/>
              </w:rPr>
            </w:pPr>
            <w:r>
              <w:rPr>
                <w:rFonts w:ascii="Courier New" w:cs="Courier New" w:eastAsia="Courier New" w:hAnsi="Courier New"/>
                <w:sz w:val="15"/>
                <w:szCs w:val="15"/>
                <w:color w:val="auto"/>
              </w:rPr>
              <w:t>Reuben Mark..........</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1974</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and Chief</w:t>
            </w:r>
          </w:p>
        </w:tc>
      </w:tr>
      <w:tr>
        <w:trPr>
          <w:trHeight w:val="172"/>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William S. Shanahan..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1983</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Lois D. Juliber......</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1991</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Chief Operating Officer</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Javier G. Teruel.....</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Chief Growth Officer</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Ian M. Cook..........</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w:t>
            </w:r>
          </w:p>
        </w:tc>
      </w:tr>
      <w:tr>
        <w:trPr>
          <w:trHeight w:val="172"/>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President, Colgate-North America</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Stephen C. Patrick...</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1990</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Chief Financial Officer</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Andrew D. Hendry.....</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1991</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r>
      <w:tr>
        <w:trPr>
          <w:trHeight w:val="172"/>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General Counsel and Secretary</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Michael J. Tangney...</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w:t>
            </w:r>
          </w:p>
        </w:tc>
      </w:tr>
      <w:tr>
        <w:trPr>
          <w:trHeight w:val="172"/>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President, Colgate-Latin America</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Robert J. Joy........</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r>
      <w:tr>
        <w:trPr>
          <w:trHeight w:val="172"/>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Global Human Resources</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Dennis J. Hickey.....</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and</w:t>
            </w:r>
          </w:p>
        </w:tc>
      </w:tr>
      <w:tr>
        <w:trPr>
          <w:trHeight w:val="172"/>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Corporate Controller</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Robert C. Wheeler....</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1991</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Chief Executive Officer</w:t>
            </w:r>
          </w:p>
        </w:tc>
      </w:tr>
      <w:tr>
        <w:trPr>
          <w:trHeight w:val="172"/>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Hill's Pet Nutrition, Inc.</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Steven R. Belasco....</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1991</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r>
      <w:tr>
        <w:trPr>
          <w:trHeight w:val="172"/>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Taxation and Real Estate</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Brian J. Heidtke.....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1986</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r>
      <w:tr>
        <w:trPr>
          <w:trHeight w:val="172"/>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Finance and Corporate Treasurer</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Ronald T. Martin.....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r>
      <w:tr>
        <w:trPr>
          <w:trHeight w:val="172"/>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Global Business Practices &amp; Public</w:t>
            </w:r>
          </w:p>
        </w:tc>
      </w:tr>
      <w:tr>
        <w:trPr>
          <w:trHeight w:val="172"/>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Affairs</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Michele C. Mayes.....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r>
      <w:tr>
        <w:trPr>
          <w:trHeight w:val="172"/>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Legal and Assistant Secretary</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Peter D. McLeod......</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1984</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r>
      <w:tr>
        <w:trPr>
          <w:trHeight w:val="172"/>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w w:val="98"/>
              </w:rPr>
              <w:t>Manufacturing Engineering Technology</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Barrie M. Spelling...</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r>
      <w:tr>
        <w:trPr>
          <w:trHeight w:val="172"/>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Global Oral Care</w:t>
            </w:r>
          </w:p>
        </w:tc>
      </w:tr>
    </w:tbl>
    <w:p>
      <w:pPr>
        <w:spacing w:after="0" w:line="348"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Each of the executive officers listed above has served the registrant or its subsidiaries in various executive capacities for the past five years.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By-Laws, paragraph 38, states: The officers of the corporation shall hold office until their respective successors are chosen and qualified in their stead, or until they have resigned, retired or been removed in the manner hereinafter provided. Any officer elected or appointed by the board of directors may be removed at any time by the affirmative vote of a majority of the whole board of directors.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3" w:right="1440" w:bottom="1440" w:gutter="0" w:footer="0" w:header="0"/>
        </w:sectPr>
      </w:pPr>
    </w:p>
    <w:bookmarkStart w:id="5" w:name="page6"/>
    <w:bookmarkEnd w:id="5"/>
    <w:p>
      <w:pPr>
        <w:jc w:val="center"/>
        <w:ind w:right="317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STOCK AND RELATED SHAREHOLDER MATTERS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Refer to the information regarding the market for the Company's Common Stock and the quarterly market price information appearing under the caption "Market and Dividend Information" included herein; the information under "Capital Stock and Stock Compensation Plans" in Note 5 to the Consolidated Financial Statements included herein; and the "Number of shareholders of record" and "Cash dividends declared and paid per common share" under the caption "Historical Financial Summary" included herein.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6" w:lineRule="exact"/>
        <w:rPr>
          <w:sz w:val="20"/>
          <w:szCs w:val="20"/>
          <w:color w:val="auto"/>
        </w:rPr>
      </w:pPr>
    </w:p>
    <w:p>
      <w:pPr>
        <w:ind w:right="3439" w:firstLine="179"/>
        <w:spacing w:after="0"/>
        <w:rPr>
          <w:sz w:val="20"/>
          <w:szCs w:val="20"/>
          <w:color w:val="auto"/>
        </w:rPr>
      </w:pPr>
      <w:r>
        <w:rPr>
          <w:rFonts w:ascii="Courier New" w:cs="Courier New" w:eastAsia="Courier New" w:hAnsi="Courier New"/>
          <w:sz w:val="15"/>
          <w:szCs w:val="15"/>
          <w:color w:val="auto"/>
        </w:rPr>
        <w:t>Refer to the information set forth under the caption "Historical Financial Summary" included herein.</w:t>
      </w:r>
    </w:p>
    <w:p>
      <w:pPr>
        <w:spacing w:after="0" w:line="176" w:lineRule="exact"/>
        <w:rPr>
          <w:sz w:val="20"/>
          <w:szCs w:val="20"/>
          <w:color w:val="auto"/>
        </w:rPr>
      </w:pPr>
    </w:p>
    <w:p>
      <w:pPr>
        <w:ind w:left="700" w:right="3879" w:hanging="715"/>
        <w:spacing w:after="0"/>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346"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32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4"/>
        </w:trPr>
        <w:tc>
          <w:tcPr>
            <w:tcW w:w="4320" w:type="dxa"/>
            <w:vAlign w:val="bottom"/>
          </w:tcPr>
          <w:p>
            <w:pPr>
              <w:spacing w:after="0"/>
              <w:rPr>
                <w:sz w:val="20"/>
                <w:szCs w:val="20"/>
                <w:color w:val="auto"/>
              </w:rPr>
            </w:pPr>
            <w:r>
              <w:rPr>
                <w:rFonts w:ascii="Courier New" w:cs="Courier New" w:eastAsia="Courier New" w:hAnsi="Courier New"/>
                <w:sz w:val="15"/>
                <w:szCs w:val="15"/>
                <w:color w:val="auto"/>
              </w:rPr>
              <w:t>Worldwide Net Sales by Business Segment and</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4320" w:type="dxa"/>
            <w:vAlign w:val="bottom"/>
          </w:tcPr>
          <w:p>
            <w:pPr>
              <w:jc w:val="right"/>
              <w:ind w:right="2645"/>
              <w:spacing w:after="0"/>
              <w:rPr>
                <w:sz w:val="20"/>
                <w:szCs w:val="20"/>
                <w:color w:val="auto"/>
              </w:rPr>
            </w:pPr>
            <w:r>
              <w:rPr>
                <w:rFonts w:ascii="Courier New" w:cs="Courier New" w:eastAsia="Courier New" w:hAnsi="Courier New"/>
                <w:sz w:val="15"/>
                <w:szCs w:val="15"/>
                <w:color w:val="auto"/>
              </w:rPr>
              <w:t>Geographic Region</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Oral, Personal and Household Care</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North America(/1/)............................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$2,310.0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$2,143.7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$2,047.5</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Latin America.................................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2,507.5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2,356.7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2,407.9</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Europe........................................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1,890.1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2,028.8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2,067.7</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Asia/Africa...................................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1,532.0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1,519.7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1,452.6</w:t>
            </w:r>
          </w:p>
        </w:tc>
      </w:tr>
      <w:tr>
        <w:trPr>
          <w:trHeight w:val="172"/>
        </w:trPr>
        <w:tc>
          <w:tcPr>
            <w:tcW w:w="432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Oral, Personal and Household Care.........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8,239.6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8,048.9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7,975.7</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Pet Nutrition(/2/)........................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1,118.3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1,069.3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995.9</w:t>
            </w:r>
          </w:p>
        </w:tc>
      </w:tr>
      <w:tr>
        <w:trPr>
          <w:trHeight w:val="172"/>
        </w:trPr>
        <w:tc>
          <w:tcPr>
            <w:tcW w:w="432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Total Net Sales...............................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$9,357.9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$9,118.2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$8,971.6</w:t>
            </w:r>
          </w:p>
        </w:tc>
      </w:tr>
      <w:tr>
        <w:trPr>
          <w:trHeight w:val="172"/>
        </w:trPr>
        <w:tc>
          <w:tcPr>
            <w:tcW w:w="432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(/1/Net)sales in the United States for Oral, Personal and Household Care were</w:t>
      </w:r>
    </w:p>
    <w:p>
      <w:pPr>
        <w:spacing w:after="0" w:line="13" w:lineRule="exact"/>
        <w:rPr>
          <w:sz w:val="20"/>
          <w:szCs w:val="20"/>
          <w:color w:val="auto"/>
        </w:rPr>
      </w:pPr>
    </w:p>
    <w:p>
      <w:pPr>
        <w:ind w:right="3439" w:firstLine="358"/>
        <w:spacing w:after="0" w:line="260" w:lineRule="auto"/>
        <w:rPr>
          <w:sz w:val="20"/>
          <w:szCs w:val="20"/>
          <w:color w:val="auto"/>
        </w:rPr>
      </w:pPr>
      <w:r>
        <w:rPr>
          <w:rFonts w:ascii="Courier New" w:cs="Courier New" w:eastAsia="Courier New" w:hAnsi="Courier New"/>
          <w:sz w:val="14"/>
          <w:szCs w:val="14"/>
          <w:color w:val="auto"/>
        </w:rPr>
        <w:t>$2,025.7, $1,880.8 and $1,799.6 in 2000, 1999 and 1998, respectively. (/2/Net)sales in the United States for Pet Nutrition were $736.0, $709.2 and</w:t>
      </w:r>
    </w:p>
    <w:p>
      <w:pPr>
        <w:ind w:left="340"/>
        <w:spacing w:after="0" w:line="238" w:lineRule="auto"/>
        <w:rPr>
          <w:sz w:val="20"/>
          <w:szCs w:val="20"/>
          <w:color w:val="auto"/>
        </w:rPr>
      </w:pPr>
      <w:r>
        <w:rPr>
          <w:rFonts w:ascii="Courier New" w:cs="Courier New" w:eastAsia="Courier New" w:hAnsi="Courier New"/>
          <w:sz w:val="15"/>
          <w:szCs w:val="15"/>
          <w:color w:val="auto"/>
        </w:rPr>
        <w:t>$688.6 in 2000, 1999 and 1998,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and Earnings Before Interest and Taxes (EBIT)</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Worldwide net sales increased 3% to $9,357.9 in 2000 on volume growth of 6%. Net sales would have grown 7% excluding foreign currency translation. Net sales in the Oral, Personal and Household Care segment increased 2% on 6% volume growth, while net sales and volume in Pet Nutrition increased by 5%. In 1999, worldwide net sales increased 2% to $9,118.2 on volume growth of 5%, reflecting the negative impact of foreign currency translation.</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EBIT rose from $1,566.2 in 1999 to $1,740.5 in 2000. The 11% increase reflected the Company's strong volume growth and cost-control initiatives that were effective in increasing margins. EBIT increased 10% in 1999 to $1,566.2 from $1,423.0 in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176" w:lineRule="exact"/>
        <w:rPr>
          <w:sz w:val="20"/>
          <w:szCs w:val="20"/>
          <w:color w:val="auto"/>
        </w:rPr>
      </w:pPr>
    </w:p>
    <w:p>
      <w:pPr>
        <w:ind w:right="3439" w:firstLine="179"/>
        <w:spacing w:after="0" w:line="267" w:lineRule="auto"/>
        <w:rPr>
          <w:sz w:val="20"/>
          <w:szCs w:val="20"/>
          <w:color w:val="auto"/>
        </w:rPr>
      </w:pPr>
      <w:r>
        <w:rPr>
          <w:rFonts w:ascii="Courier New" w:cs="Courier New" w:eastAsia="Courier New" w:hAnsi="Courier New"/>
          <w:sz w:val="14"/>
          <w:szCs w:val="14"/>
          <w:color w:val="auto"/>
        </w:rPr>
        <w:t>Gross profit margin increased to 54.4%, above both the 1999 level of 53.7% and the 1998 level of 52.2%. This favorable trend continues to reflect the Company's financial strategy to improve all aspects of its supply</w:t>
      </w:r>
    </w:p>
    <w:p>
      <w:pPr>
        <w:spacing w:after="0" w:line="1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176" w:lineRule="exact"/>
        <w:rPr>
          <w:sz w:val="20"/>
          <w:szCs w:val="20"/>
          <w:color w:val="auto"/>
        </w:rPr>
      </w:pPr>
    </w:p>
    <w:p>
      <w:pPr>
        <w:ind w:right="4059"/>
        <w:spacing w:after="0" w:line="274" w:lineRule="auto"/>
        <w:rPr>
          <w:sz w:val="20"/>
          <w:szCs w:val="20"/>
          <w:color w:val="auto"/>
        </w:rPr>
      </w:pPr>
      <w:r>
        <w:rPr>
          <w:rFonts w:ascii="Courier New" w:cs="Courier New" w:eastAsia="Courier New" w:hAnsi="Courier New"/>
          <w:sz w:val="14"/>
          <w:szCs w:val="14"/>
          <w:color w:val="auto"/>
        </w:rPr>
        <w:t>chain through global sourcing, restructuring and other cost-reduction initiatives, as well as its emphasis on higher margin products.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Selling, general and administrative expenses as a percentage of sales were 35% in 2000, 36% in 1999 and 36% in 1998. The overall spending as a percentage of sales declined slightly as a result of the Company's continued focus on expense containment, offset by higher advertising costs.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 Net</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Other expense, net, consists principally of amortization of goodwill and other intangible assets, minority interest in earnings of less-than-100%-owned consolidated subsidiaries, earnings from equity investments, gains on sale of real estate and non-core product lines, and other miscellaneous gains and losses. Other expense, net, decreased in 2000 from $73.6 to $52.3 primarily due to unrealized gains of $15.4 on foreign currency contracts.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Items included in other expense, net during 2000 were one-time charges of $92.7 ($61.2 aftertax), including a restructuring charge recorded in the fourth quarter related to the realignment of certain manufacturing operations and the exiting of our business in Nigeria. Also included are one-time gains of $102.0 ($60.9 aftertax) recorded on the sale of real estate and the sale of our Viva detergent brand in Mexico.</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During 1999 the Company incurred one-time charges related to the exiting of certain activities, such as the manufacture of aluminum tubes in Brazil. These charges were offset by a gain of $33.0 ($17.6 aftertax) recorded on the sale of the U.S. Baby Magic brand and a gain of $17.4 ($11.4 aftertax) on the sale of real estate.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060" w:type="dxa"/>
            <w:vAlign w:val="bottom"/>
          </w:tcPr>
          <w:p>
            <w:pPr>
              <w:spacing w:after="0"/>
              <w:rPr>
                <w:sz w:val="14"/>
                <w:szCs w:val="14"/>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Worldwide Earnings by Business Segment and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4060" w:type="dxa"/>
            <w:vAlign w:val="bottom"/>
          </w:tcPr>
          <w:p>
            <w:pPr>
              <w:jc w:val="right"/>
              <w:ind w:right="2385"/>
              <w:spacing w:after="0"/>
              <w:rPr>
                <w:sz w:val="20"/>
                <w:szCs w:val="20"/>
                <w:color w:val="auto"/>
              </w:rPr>
            </w:pPr>
            <w:r>
              <w:rPr>
                <w:rFonts w:ascii="Courier New" w:cs="Courier New" w:eastAsia="Courier New" w:hAnsi="Courier New"/>
                <w:sz w:val="15"/>
                <w:szCs w:val="15"/>
                <w:color w:val="auto"/>
              </w:rPr>
              <w:t>Geographic Region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Oral, Personal and Household Care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North America..............................</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482.4</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413.0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395.5</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Latin America..............................</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603.1</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535.7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502.0</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Europe.....................................</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320.0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342.0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317.5</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Asia/Africa................................</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194.0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158.6</w:t>
            </w:r>
          </w:p>
        </w:tc>
      </w:tr>
      <w:tr>
        <w:trPr>
          <w:trHeight w:val="172"/>
        </w:trPr>
        <w:tc>
          <w:tcPr>
            <w:tcW w:w="4060" w:type="dxa"/>
            <w:vAlign w:val="bottom"/>
          </w:tcPr>
          <w:p>
            <w:pPr>
              <w:spacing w:after="0"/>
              <w:rPr>
                <w:sz w:val="14"/>
                <w:szCs w:val="14"/>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Oral, Personal and Household Care......</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1,599.5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1,457.4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1,373.6</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Pet Nutrition..........................</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243.5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219.9</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173.8</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Corporate Overhead and Other.................</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(102.5)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(111.1)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(124.4)</w:t>
            </w:r>
          </w:p>
        </w:tc>
      </w:tr>
      <w:tr>
        <w:trPr>
          <w:trHeight w:val="172"/>
        </w:trPr>
        <w:tc>
          <w:tcPr>
            <w:tcW w:w="4060" w:type="dxa"/>
            <w:vAlign w:val="bottom"/>
          </w:tcPr>
          <w:p>
            <w:pPr>
              <w:spacing w:after="0"/>
              <w:rPr>
                <w:sz w:val="14"/>
                <w:szCs w:val="14"/>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Earnings Before Interest and Taxes...........</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1,740.5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1,566.2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1,423.0</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Expense, Net........................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(173.3)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(171.6)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(172.9)</w:t>
            </w:r>
          </w:p>
        </w:tc>
      </w:tr>
      <w:tr>
        <w:trPr>
          <w:trHeight w:val="172"/>
        </w:trPr>
        <w:tc>
          <w:tcPr>
            <w:tcW w:w="4060" w:type="dxa"/>
            <w:vAlign w:val="bottom"/>
          </w:tcPr>
          <w:p>
            <w:pPr>
              <w:spacing w:after="0"/>
              <w:rPr>
                <w:sz w:val="14"/>
                <w:szCs w:val="14"/>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Before Income Taxes...................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1,567.2</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$1,394.6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$1,250.1</w:t>
            </w:r>
          </w:p>
        </w:tc>
      </w:tr>
      <w:tr>
        <w:trPr>
          <w:trHeight w:val="172"/>
        </w:trPr>
        <w:tc>
          <w:tcPr>
            <w:tcW w:w="4060" w:type="dxa"/>
            <w:vAlign w:val="bottom"/>
          </w:tcPr>
          <w:p>
            <w:pPr>
              <w:spacing w:after="0"/>
              <w:rPr>
                <w:sz w:val="14"/>
                <w:szCs w:val="14"/>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Segment Results</w:t>
      </w:r>
    </w:p>
    <w:p>
      <w:pPr>
        <w:spacing w:after="0" w:line="18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North America</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North America achieved strong results for the year. Net sales grew 8%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$2,310.0 as unit volume rose 8% driven by the introduction of new products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core categories. These new products included the battery-powered Colgate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Actibrush toothbrush, Colgate 2in1 toothpaste &amp; mouthwash, and Colgate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Sensitive Maximum Strength and Colgate Sparkling White toothpastes.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Personal Care category, the launch of Softsoap Fruit Essentials body wash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hand soap and Softsoap 2-in-1 with moisturizing lotion boosted sales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shares as well. In 1999, North America achieved overall sales growth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excluding divestments of 6% to $2,143.7 on volume growth of 8%.</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176" w:lineRule="exact"/>
        <w:rPr>
          <w:sz w:val="20"/>
          <w:szCs w:val="20"/>
          <w:color w:val="auto"/>
        </w:rPr>
      </w:pPr>
    </w:p>
    <w:p>
      <w:pPr>
        <w:jc w:val="both"/>
        <w:ind w:right="3439" w:firstLine="179"/>
        <w:spacing w:after="0" w:line="241" w:lineRule="auto"/>
        <w:rPr>
          <w:sz w:val="20"/>
          <w:szCs w:val="20"/>
          <w:color w:val="auto"/>
        </w:rPr>
      </w:pPr>
      <w:r>
        <w:rPr>
          <w:rFonts w:ascii="Courier New" w:cs="Courier New" w:eastAsia="Courier New" w:hAnsi="Courier New"/>
          <w:sz w:val="15"/>
          <w:szCs w:val="15"/>
          <w:color w:val="auto"/>
        </w:rPr>
        <w:t>EBIT for North America was up 17% to $482.4. The region achieved earnings growth through volume gains, higher gross profit margins and continued focus on cost control. EBIT in 1999 was up 4% to $413.0.</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Latin America</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Net sales in Latin America increased 6% to $2,507.5 on 6% volume growth led by strong growth in Mexico, Brazil, Venezuela and Central America. The regional introduction of Colgate Fresh Confidence gel toothpaste as well as Palmolive Botanicals shampoo and soap strengthened market shares in the Oral and Personal Care categories. In 1999, Latin America net sales decreased 2% to $2,356.7 on 3% volume growth.</w:t>
      </w:r>
    </w:p>
    <w:p>
      <w:pPr>
        <w:spacing w:after="0" w:line="176" w:lineRule="exact"/>
        <w:rPr>
          <w:sz w:val="20"/>
          <w:szCs w:val="20"/>
          <w:color w:val="auto"/>
        </w:rPr>
      </w:pPr>
    </w:p>
    <w:p>
      <w:pPr>
        <w:jc w:val="both"/>
        <w:ind w:right="3779" w:firstLine="179"/>
        <w:spacing w:after="0" w:line="242" w:lineRule="auto"/>
        <w:rPr>
          <w:sz w:val="20"/>
          <w:szCs w:val="20"/>
          <w:color w:val="auto"/>
        </w:rPr>
      </w:pPr>
      <w:r>
        <w:rPr>
          <w:rFonts w:ascii="Courier New" w:cs="Courier New" w:eastAsia="Courier New" w:hAnsi="Courier New"/>
          <w:sz w:val="15"/>
          <w:szCs w:val="15"/>
          <w:color w:val="auto"/>
        </w:rPr>
        <w:t>EBIT in Latin America increased 13% to $603.1 as a result of continued efforts in cost reduction, selective selling price increases and higher margins. EBIT in 1999 was up 7% to $535.7 due to selective selling price increases and lower advertising expenditures in Brazil.</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Europe</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Net sales in Europe declined 7% to $1,890.1 as unit volume gains of 4% were offset by the weakened euro. Germany, Italy, the Nordic Group and the Netherlands achieved the strongest volume increases in the region. The Colgate Actibrush, and Colgate Fresh Confidence and Colgate Whitening toothpastes led Oral Care market growth in the region. Market share growth in the Personal and Household Care categories coupled with the introduction of new products such as Ajax Shower Power cleaner, Palmolive Actif men's shower gel and Palmolive Spring Sensations dishwashing liquid contributed to increased volumes in Europe. In 1999, Europe net sales declined 2% to $2,028.8, due primarily to the weakened euro, while volume grew 2%.</w:t>
      </w:r>
    </w:p>
    <w:p>
      <w:pPr>
        <w:spacing w:after="0" w:line="179" w:lineRule="exact"/>
        <w:rPr>
          <w:sz w:val="20"/>
          <w:szCs w:val="20"/>
          <w:color w:val="auto"/>
        </w:rPr>
      </w:pPr>
    </w:p>
    <w:p>
      <w:pPr>
        <w:ind w:right="3699" w:firstLine="179"/>
        <w:spacing w:after="0" w:line="241" w:lineRule="auto"/>
        <w:rPr>
          <w:sz w:val="20"/>
          <w:szCs w:val="20"/>
          <w:color w:val="auto"/>
        </w:rPr>
      </w:pPr>
      <w:r>
        <w:rPr>
          <w:rFonts w:ascii="Courier New" w:cs="Courier New" w:eastAsia="Courier New" w:hAnsi="Courier New"/>
          <w:sz w:val="15"/>
          <w:szCs w:val="15"/>
          <w:color w:val="auto"/>
        </w:rPr>
        <w:t>EBIT for Europe decreased 6% to $320.0 as a result of foreign currency weakness. EBIT in 1999 rose 8% to $342.0 due to higher margins and higher volumes.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Asia/Africa</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Net sales in the Asia/Africa region excluding divestments increased 2% to $1,532.0 as volume grew 7% with the strongest performance in China, India and the Philippines. China continued to experience significant growth through introduction of new products such as Softlan fabric softener and Palmolive Naturals shampoo as well as its newly formed majority-owned joint venture with China's leading toothbrush manufacturer. Throughout the region the Company continues to benefit from the success of products such as the Colgate Actibrush toothbrush and Colgate Fresh Confidence and Colgate Herbal toothpastes. In 1999, net sales in the Asia/Africa region increased 5% to $1,519.7 as volume increased 7%.</w:t>
      </w:r>
    </w:p>
    <w:p>
      <w:pPr>
        <w:spacing w:after="0" w:line="179" w:lineRule="exact"/>
        <w:rPr>
          <w:sz w:val="20"/>
          <w:szCs w:val="20"/>
          <w:color w:val="auto"/>
        </w:rPr>
      </w:pPr>
    </w:p>
    <w:p>
      <w:pPr>
        <w:ind w:right="3519" w:firstLine="179"/>
        <w:spacing w:after="0"/>
        <w:rPr>
          <w:sz w:val="20"/>
          <w:szCs w:val="20"/>
          <w:color w:val="auto"/>
        </w:rPr>
      </w:pPr>
      <w:r>
        <w:rPr>
          <w:rFonts w:ascii="Courier New" w:cs="Courier New" w:eastAsia="Courier New" w:hAnsi="Courier New"/>
          <w:sz w:val="15"/>
          <w:szCs w:val="15"/>
          <w:color w:val="auto"/>
        </w:rPr>
        <w:t>EBIT grew 16% in Asia/Africa to $194.0 driven by increased volumes across the region. EBIT in 1999 grew 5% to $166.7.</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Pet Nutrition</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Net sales for Hill's Pet Nutrition increased 5% to $1,118.3 on 5% volume growth. North American sales increased due to the introduction of new products including Science Diet products for sensitive skin and sensitive stomach, as well as the relaunch of the entire Science Diet line with a proprietary antioxidant formulation. Strong growth occurred in Japan, Europe and Latin America due to the introduction of new feline varieties and improvements in the entire dry cat food line, complemented by increased advertising. In 1999, net sales for the Pet Nutrition segment increased 7% to $1,069.3 on 8% volume gains.</w:t>
      </w:r>
    </w:p>
    <w:p>
      <w:pPr>
        <w:spacing w:after="0" w:line="178" w:lineRule="exact"/>
        <w:rPr>
          <w:sz w:val="20"/>
          <w:szCs w:val="20"/>
          <w:color w:val="auto"/>
        </w:rPr>
      </w:pPr>
    </w:p>
    <w:p>
      <w:pPr>
        <w:jc w:val="both"/>
        <w:ind w:right="3519" w:firstLine="179"/>
        <w:spacing w:after="0" w:line="241" w:lineRule="auto"/>
        <w:rPr>
          <w:sz w:val="20"/>
          <w:szCs w:val="20"/>
          <w:color w:val="auto"/>
        </w:rPr>
      </w:pPr>
      <w:r>
        <w:rPr>
          <w:rFonts w:ascii="Courier New" w:cs="Courier New" w:eastAsia="Courier New" w:hAnsi="Courier New"/>
          <w:sz w:val="15"/>
          <w:szCs w:val="15"/>
          <w:color w:val="auto"/>
        </w:rPr>
        <w:t>EBIT in the Pet Nutrition segment grew 11% to $243.5 driven by volume and cost-improvement initiatives. EBIT in 1999 increased 27% to $219.9 on both higher volumes and lower raw material costs.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Net</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Interest expense, net, was $173.3 compared with $171.6 in 1999 and $172.9 in 1998. The increase in net interest expense in 2000 reflected increased average debt levels related to increased share repurchases during the year compared with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339" w:firstLine="179"/>
        <w:spacing w:after="0" w:line="267" w:lineRule="auto"/>
        <w:rPr>
          <w:sz w:val="20"/>
          <w:szCs w:val="20"/>
          <w:color w:val="auto"/>
        </w:rPr>
      </w:pPr>
      <w:r>
        <w:rPr>
          <w:rFonts w:ascii="Courier New" w:cs="Courier New" w:eastAsia="Courier New" w:hAnsi="Courier New"/>
          <w:sz w:val="14"/>
          <w:szCs w:val="14"/>
          <w:color w:val="auto"/>
        </w:rPr>
        <w:t>The effective tax rate on income was 32.1% in 2000 versus 32.8% in 1999 and 32.1% in 1998. Global tax planning strategies, including the realization of tax credits, benefited the effective tax rate in all three years presented.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176" w:lineRule="exact"/>
        <w:rPr>
          <w:sz w:val="20"/>
          <w:szCs w:val="20"/>
          <w:color w:val="auto"/>
        </w:rPr>
      </w:pPr>
    </w:p>
    <w:p>
      <w:pPr>
        <w:ind w:right="3519" w:firstLine="179"/>
        <w:spacing w:after="0" w:line="241" w:lineRule="auto"/>
        <w:rPr>
          <w:sz w:val="20"/>
          <w:szCs w:val="20"/>
          <w:color w:val="auto"/>
        </w:rPr>
      </w:pPr>
      <w:r>
        <w:rPr>
          <w:rFonts w:ascii="Courier New" w:cs="Courier New" w:eastAsia="Courier New" w:hAnsi="Courier New"/>
          <w:sz w:val="15"/>
          <w:szCs w:val="15"/>
          <w:color w:val="auto"/>
        </w:rPr>
        <w:t>Net income was $1,063.8 in 2000 or $1.70 per share on a diluted basis compared with $937.3 in 1999 or $1.47 per share and $848.6 in 1998 or $1.30 per share.</w:t>
      </w:r>
    </w:p>
    <w:p>
      <w:pPr>
        <w:spacing w:after="0" w:line="200" w:lineRule="exact"/>
        <w:rPr>
          <w:sz w:val="20"/>
          <w:szCs w:val="20"/>
          <w:color w:val="auto"/>
        </w:rPr>
      </w:pPr>
    </w:p>
    <w:p>
      <w:pPr>
        <w:spacing w:after="0" w:line="318"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50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Oral, Personal and Household Care</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500" w:type="dxa"/>
            <w:vAlign w:val="bottom"/>
          </w:tcPr>
          <w:p>
            <w:pPr>
              <w:jc w:val="right"/>
              <w:spacing w:after="0"/>
              <w:rPr>
                <w:sz w:val="20"/>
                <w:szCs w:val="20"/>
                <w:color w:val="auto"/>
              </w:rPr>
            </w:pPr>
            <w:r>
              <w:rPr>
                <w:rFonts w:ascii="Courier New" w:cs="Courier New" w:eastAsia="Courier New" w:hAnsi="Courier New"/>
                <w:sz w:val="15"/>
                <w:szCs w:val="15"/>
                <w:color w:val="auto"/>
              </w:rPr>
              <w:t>North America...................................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$2,122.8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$2,076.5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$2,101.5</w:t>
            </w:r>
          </w:p>
        </w:tc>
      </w:tr>
      <w:tr>
        <w:trPr>
          <w:trHeight w:val="172"/>
        </w:trPr>
        <w:tc>
          <w:tcPr>
            <w:tcW w:w="4500" w:type="dxa"/>
            <w:vAlign w:val="bottom"/>
          </w:tcPr>
          <w:p>
            <w:pPr>
              <w:jc w:val="right"/>
              <w:spacing w:after="0"/>
              <w:rPr>
                <w:sz w:val="20"/>
                <w:szCs w:val="20"/>
                <w:color w:val="auto"/>
              </w:rPr>
            </w:pPr>
            <w:r>
              <w:rPr>
                <w:rFonts w:ascii="Courier New" w:cs="Courier New" w:eastAsia="Courier New" w:hAnsi="Courier New"/>
                <w:sz w:val="15"/>
                <w:szCs w:val="15"/>
                <w:color w:val="auto"/>
              </w:rPr>
              <w:t>Latin America...................................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2,091.3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2,151.4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2,314.7</w:t>
            </w:r>
          </w:p>
        </w:tc>
      </w:tr>
      <w:tr>
        <w:trPr>
          <w:trHeight w:val="172"/>
        </w:trPr>
        <w:tc>
          <w:tcPr>
            <w:tcW w:w="4500" w:type="dxa"/>
            <w:vAlign w:val="bottom"/>
          </w:tcPr>
          <w:p>
            <w:pPr>
              <w:jc w:val="right"/>
              <w:spacing w:after="0"/>
              <w:rPr>
                <w:sz w:val="20"/>
                <w:szCs w:val="20"/>
                <w:color w:val="auto"/>
              </w:rPr>
            </w:pPr>
            <w:r>
              <w:rPr>
                <w:rFonts w:ascii="Courier New" w:cs="Courier New" w:eastAsia="Courier New" w:hAnsi="Courier New"/>
                <w:sz w:val="15"/>
                <w:szCs w:val="15"/>
                <w:color w:val="auto"/>
              </w:rPr>
              <w:t>Europe..........................................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1,369.4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1,469.1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1,554.1</w:t>
            </w:r>
          </w:p>
        </w:tc>
      </w:tr>
      <w:tr>
        <w:trPr>
          <w:trHeight w:val="172"/>
        </w:trPr>
        <w:tc>
          <w:tcPr>
            <w:tcW w:w="4500" w:type="dxa"/>
            <w:vAlign w:val="bottom"/>
          </w:tcPr>
          <w:p>
            <w:pPr>
              <w:jc w:val="right"/>
              <w:spacing w:after="0"/>
              <w:rPr>
                <w:sz w:val="20"/>
                <w:szCs w:val="20"/>
                <w:color w:val="auto"/>
              </w:rPr>
            </w:pPr>
            <w:r>
              <w:rPr>
                <w:rFonts w:ascii="Courier New" w:cs="Courier New" w:eastAsia="Courier New" w:hAnsi="Courier New"/>
                <w:sz w:val="15"/>
                <w:szCs w:val="15"/>
                <w:color w:val="auto"/>
              </w:rPr>
              <w:t>Asia/Africa.....................................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1,013.0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1,061.3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1,031.3</w:t>
            </w:r>
          </w:p>
        </w:tc>
      </w:tr>
      <w:tr>
        <w:trPr>
          <w:trHeight w:val="172"/>
        </w:trPr>
        <w:tc>
          <w:tcPr>
            <w:tcW w:w="4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450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Oral, Personal and Household Care...........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6,596.5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6,758.3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7,001.6</w:t>
            </w:r>
          </w:p>
        </w:tc>
      </w:tr>
      <w:tr>
        <w:trPr>
          <w:trHeight w:val="172"/>
        </w:trPr>
        <w:tc>
          <w:tcPr>
            <w:tcW w:w="450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Pet Nutrition...............................</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478.5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476.1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502.6</w:t>
            </w:r>
          </w:p>
        </w:tc>
      </w:tr>
      <w:tr>
        <w:trPr>
          <w:trHeight w:val="172"/>
        </w:trPr>
        <w:tc>
          <w:tcPr>
            <w:tcW w:w="450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Corporate...................................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177.3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188.7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181.0</w:t>
            </w:r>
          </w:p>
        </w:tc>
      </w:tr>
      <w:tr>
        <w:trPr>
          <w:trHeight w:val="172"/>
        </w:trPr>
        <w:tc>
          <w:tcPr>
            <w:tcW w:w="4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450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Identifiable Assets(/1/)....................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$7,252.3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$7,423.1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$7,685.2</w:t>
            </w:r>
          </w:p>
        </w:tc>
      </w:tr>
      <w:tr>
        <w:trPr>
          <w:trHeight w:val="172"/>
        </w:trPr>
        <w:tc>
          <w:tcPr>
            <w:tcW w:w="4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0" w:right="3439" w:hanging="357"/>
        <w:spacing w:after="0" w:line="267" w:lineRule="auto"/>
        <w:rPr>
          <w:sz w:val="20"/>
          <w:szCs w:val="20"/>
          <w:color w:val="auto"/>
        </w:rPr>
      </w:pPr>
      <w:r>
        <w:rPr>
          <w:rFonts w:ascii="Courier New" w:cs="Courier New" w:eastAsia="Courier New" w:hAnsi="Courier New"/>
          <w:sz w:val="14"/>
          <w:szCs w:val="14"/>
          <w:color w:val="auto"/>
        </w:rPr>
        <w:t>(/1/Long-lived)assets in the United States, primarily fixed assets and goodwill, represented approximately one-third of total long-lived assets of $4,813.3, $4,952.3 and $5,330.0 in 2000, 1999 and 1998, respectively.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599" w:firstLine="179"/>
        <w:spacing w:after="0" w:line="242" w:lineRule="auto"/>
        <w:rPr>
          <w:sz w:val="20"/>
          <w:szCs w:val="20"/>
          <w:color w:val="auto"/>
        </w:rPr>
      </w:pPr>
      <w:r>
        <w:rPr>
          <w:rFonts w:ascii="Courier New" w:cs="Courier New" w:eastAsia="Courier New" w:hAnsi="Courier New"/>
          <w:sz w:val="15"/>
          <w:szCs w:val="15"/>
          <w:color w:val="auto"/>
        </w:rPr>
        <w:t>Net cash provided by operations increased 19% to $1,536.2 compared with $1,292.7 in 1999 and $1,178.8 in 1998. The increases reflect the Company's improved profitability and working capital management. Cash generated from operations was used to fund capital spending, increase dividends and repurchase common shares.</w:t>
      </w:r>
    </w:p>
    <w:p>
      <w:pPr>
        <w:spacing w:after="0" w:line="175" w:lineRule="exact"/>
        <w:rPr>
          <w:sz w:val="20"/>
          <w:szCs w:val="20"/>
          <w:color w:val="auto"/>
        </w:rPr>
      </w:pPr>
    </w:p>
    <w:p>
      <w:pPr>
        <w:ind w:right="3519" w:firstLine="179"/>
        <w:spacing w:after="0" w:line="241" w:lineRule="auto"/>
        <w:rPr>
          <w:sz w:val="20"/>
          <w:szCs w:val="20"/>
          <w:color w:val="auto"/>
        </w:rPr>
      </w:pPr>
      <w:r>
        <w:rPr>
          <w:rFonts w:ascii="Courier New" w:cs="Courier New" w:eastAsia="Courier New" w:hAnsi="Courier New"/>
          <w:sz w:val="15"/>
          <w:szCs w:val="15"/>
          <w:color w:val="auto"/>
        </w:rPr>
        <w:t>During 2000, long-term debt increased to $2,857.1 from $2,582.2 and total debt increased to $2,978.2 from $2,789.5 primarily due to increased share repurchases.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As of December 31, 2000, $436.1 of domestic and foreign commercial paper was outstanding. These borrowings carry a Standard &amp; Poor's rating of A1 and a Moody's rating of P1. The commercial paper as well as other short-term borrowings are classified as long-term debt at December 31, 2000, as it is the Company's intent and ability to refinance such obligations on a long-term basis. The Company has additional sources of liquidity available in the form of lines of credit maintained with various banks. At December 31, 2000, such unused lines of credit amounted to $1,398.1. In addition, at December 31, 2000, the Company had $438.2 available under a shelf registration filed in 2000.</w:t>
      </w:r>
    </w:p>
    <w:p>
      <w:pPr>
        <w:spacing w:after="0" w:line="179" w:lineRule="exact"/>
        <w:rPr>
          <w:sz w:val="20"/>
          <w:szCs w:val="20"/>
          <w:color w:val="auto"/>
        </w:rPr>
      </w:pPr>
    </w:p>
    <w:p>
      <w:pPr>
        <w:jc w:val="both"/>
        <w:ind w:right="3259" w:firstLine="179"/>
        <w:spacing w:after="0" w:line="274" w:lineRule="auto"/>
        <w:rPr>
          <w:sz w:val="20"/>
          <w:szCs w:val="20"/>
          <w:color w:val="auto"/>
        </w:rPr>
      </w:pPr>
      <w:r>
        <w:rPr>
          <w:rFonts w:ascii="Courier New" w:cs="Courier New" w:eastAsia="Courier New" w:hAnsi="Courier New"/>
          <w:sz w:val="14"/>
          <w:szCs w:val="14"/>
          <w:color w:val="auto"/>
        </w:rPr>
        <w:t>As of December 31, 1999, $477.3 of domestic and foreign commercial paper was outstanding. An unused line of credit of approximately $1,527.9 was available.</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ratio of EBITDA (defined as earnings before interest, income taxes, depreciation and amortization) to interest expense increased to 10.4 in 2000 from 9.0 in 1999 and 8.6 in 1998. The ratio has increased each year consistent with the Company's trend of higher earnings.</w:t>
      </w:r>
    </w:p>
    <w:p>
      <w:pPr>
        <w:spacing w:after="0" w:line="200" w:lineRule="exact"/>
        <w:rPr>
          <w:sz w:val="20"/>
          <w:szCs w:val="20"/>
          <w:color w:val="auto"/>
        </w:rPr>
      </w:pPr>
    </w:p>
    <w:p>
      <w:pPr>
        <w:spacing w:after="0" w:line="31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04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4"/>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North America.........................................</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$ 91.8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$ 97.6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$ 90.1</w:t>
            </w: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Latin America.........................................</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121.3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118.2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99.2</w:t>
            </w: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Europe................................................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41.7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83.7</w:t>
            </w: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Asia/Africa...........................................</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57.0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80.5</w:t>
            </w:r>
          </w:p>
        </w:tc>
      </w:tr>
      <w:tr>
        <w:trPr>
          <w:trHeight w:val="172"/>
        </w:trPr>
        <w:tc>
          <w:tcPr>
            <w:tcW w:w="504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Oral, Personal and Household Care.................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300.6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333.6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353.5</w:t>
            </w: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Pet Nutrition.....................................</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29.2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Corporate.........................................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36.8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172"/>
        </w:trPr>
        <w:tc>
          <w:tcPr>
            <w:tcW w:w="504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Total Capital Expenditures..........................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$366.6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$372.8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$389.6</w:t>
            </w:r>
          </w:p>
        </w:tc>
      </w:tr>
      <w:tr>
        <w:trPr>
          <w:trHeight w:val="172"/>
        </w:trPr>
        <w:tc>
          <w:tcPr>
            <w:tcW w:w="504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North America.........................................</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$ 99.3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$ 97.4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$ 95.6</w:t>
            </w: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Latin America.........................................</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74.9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69.0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75.6</w:t>
            </w: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Europe................................................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67.8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67.9</w:t>
            </w: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Asia/Africa...........................................</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46.6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42.1</w:t>
            </w:r>
          </w:p>
        </w:tc>
      </w:tr>
      <w:tr>
        <w:trPr>
          <w:trHeight w:val="172"/>
        </w:trPr>
        <w:tc>
          <w:tcPr>
            <w:tcW w:w="504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Oral, Personal and Household Care.................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289.0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288.9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281.2</w:t>
            </w: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Pet Nutrition.....................................</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30.6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Corporate.........................................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16.6</w:t>
            </w:r>
          </w:p>
        </w:tc>
      </w:tr>
      <w:tr>
        <w:trPr>
          <w:trHeight w:val="172"/>
        </w:trPr>
        <w:tc>
          <w:tcPr>
            <w:tcW w:w="504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Total Depreciation and Amortization.................</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$337.8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$340.2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$330.3</w:t>
            </w:r>
          </w:p>
        </w:tc>
      </w:tr>
      <w:tr>
        <w:trPr>
          <w:trHeight w:val="172"/>
        </w:trPr>
        <w:tc>
          <w:tcPr>
            <w:tcW w:w="504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48"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Capital expenditures were 4% of net sales for 2000, 1999 and 1998. Capital spending continues to be focused primarily on projects that yield high aftertax returns. Capital expenditures for 2001 are expected to continue at the current rate of approximately 4% of net sales.</w:t>
      </w:r>
    </w:p>
    <w:p>
      <w:pPr>
        <w:spacing w:after="0" w:line="175"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Other investing activities in 2000, 1999 and 1998 included strategic acquisitions and divestitures around the world. The aggregate purchase price of all 2000, 1999 and 1998 acquisitions was $64.9, $46.4 and $22.6, respectively. The Mexico Viva detergent brand was sold in 2000, U.S. Baby Magic brand was sold in 1999 and the HandiWipes brand was sold in 1998. The aggregate sale price of all 2000, 1999 and 1998 sales of brands was $102.5, $94.7 and $57.4, respectively.</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1993, the Company participated in the formation of a financing subsidiary with outside investors. The Company consolidated this entity and reported the amounts invested by outside investors as a minority interest. During 2000 this subsidiary ceased operations resulting in a cash payment of $113.9 to the outside investors.</w:t>
      </w:r>
    </w:p>
    <w:p>
      <w:pPr>
        <w:spacing w:after="0" w:line="175"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The Company repurchases common shares in open market and private transactions for employee benefit plans and to maintain its targeted capital structure. Aggregate repurchases for 2000 were 19.1 million shares, with a total purchase price of $1,040.6. In 1999, 12.8 million shares were repurchased, with a total purchase price of $624.4.</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Dividend payments were $382.4, up from $366.0 in 1999 and $345.6 in 1998. Common stock dividend payments increased to $.63 per share in 2000 from $.59 per share in 1999 and $.55 per share in 1998. The Series B Preference Stock dividends were declared and paid at the rate of $5.04 per share in 2000, $4.96 per share in 1999 and $4.88 in 1998.</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176" w:lineRule="exact"/>
        <w:rPr>
          <w:sz w:val="20"/>
          <w:szCs w:val="20"/>
          <w:color w:val="auto"/>
        </w:rPr>
      </w:pPr>
    </w:p>
    <w:p>
      <w:pPr>
        <w:ind w:right="3519" w:firstLine="179"/>
        <w:spacing w:after="0" w:line="241" w:lineRule="auto"/>
        <w:rPr>
          <w:sz w:val="20"/>
          <w:szCs w:val="20"/>
          <w:color w:val="auto"/>
        </w:rPr>
      </w:pPr>
      <w:r>
        <w:rPr>
          <w:rFonts w:ascii="Courier New" w:cs="Courier New" w:eastAsia="Courier New" w:hAnsi="Courier New"/>
          <w:sz w:val="15"/>
          <w:szCs w:val="15"/>
          <w:color w:val="auto"/>
        </w:rPr>
        <w:t>Internally generated cash flows are adequate to support currently planned business operations, acquisitions and capital expenditures. Significant acquisitions would require external financing.</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is a party to various superfund and other environmental matters and is contingently liable with respect to lawsuits, taxes and other matters arising out of the normal course of business. Management proactively reviews and manages its exposure to, and the impact of, environmental matters. While it is possible that the Company's cash flows and results of operations in a particular quarter or year could be affected by the one-time impacts of the resolution of such contingencies, it is the opinion of management that the ultimate disposition of these matters, to the extent not previously provided for, will not have a material impact on the Company's financial position or ongoing cash flows and 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Reserves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In December 2000 the Company recorded a charge of $63.9 ($42.5 aftertax) associated with the realignment of three manufacturing locations in Latin America and the exiting of our business in Nigeria. The charge recorded included $14.2 for termination costs and $49.7 for exiting of manufacturing operations. At December 31, 2000, the remaining reserve of $7.2 is classified as a current liability representing termination costs for 979 employees to be paid during 2001.</w:t>
      </w:r>
    </w:p>
    <w:p>
      <w:pPr>
        <w:spacing w:after="0" w:line="177" w:lineRule="exact"/>
        <w:rPr>
          <w:sz w:val="20"/>
          <w:szCs w:val="20"/>
          <w:color w:val="auto"/>
        </w:rPr>
      </w:pPr>
    </w:p>
    <w:p>
      <w:pPr>
        <w:ind w:right="3339" w:firstLine="179"/>
        <w:spacing w:after="0" w:line="263" w:lineRule="auto"/>
        <w:rPr>
          <w:sz w:val="20"/>
          <w:szCs w:val="20"/>
          <w:color w:val="auto"/>
        </w:rPr>
      </w:pPr>
      <w:r>
        <w:rPr>
          <w:rFonts w:ascii="Courier New" w:cs="Courier New" w:eastAsia="Courier New" w:hAnsi="Courier New"/>
          <w:sz w:val="14"/>
          <w:szCs w:val="14"/>
          <w:color w:val="auto"/>
        </w:rPr>
        <w:t>In September 1995, a reserve of $460.5 was established to cover a worldwide restructuring of manufacturing and administrative operations. The cost of completing the restructuring activities approximated the original estimate. The planned restructuring projects, primarily in North America and Europe but also affecting Hill's Pet Nutrition and Colgate locations in Asia/Africa and certain Latin America locations, were completed as of December 31, 2000.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Managing Foreign Currency and Interest Rate Exposure</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is exposed to market risk from foreign currency exchange rate fluctuations and interest rates. To manage the volatility relating to foreign currency exposures on a consolidated basis, the Company utilizes a number of techniques, including selective borrowings in local currencies, purchases of forward foreign currency exchange contracts, balance sheet management and increases in selling prices.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operates in over 200 countries and territories and is exposed to currency fluctuation related to manufacturing and selling its products in currencies other than the U.S. dollar. The major foreign currency exposures involve the markets in the European Union, Mexico and Brazil, which represent 13%, 11% and 5%, respectively, of 2000 worldwide sales. The Company actively monitors its foreign currency exposures in these markets and has been able to offset the impact of foreign currency rate movements through a combination of selling price increases, cost-containment measures and foreign currency hedging activities. The Company primarily utilizes forward exchange and currency swap contracts to hedge portions of its exposures relating to foreign currency purchases and sales, as well as assets and liabilities created in the normal course of business.</w:t>
      </w:r>
    </w:p>
    <w:p>
      <w:pPr>
        <w:spacing w:after="0" w:line="180"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utilizes simple instruments such as interest rate swaps to manage the Company's mix of fixed and floating rate debt. The Company's target floating rate obligations as a percentage of the Company's global debt is set by policy.</w:t>
      </w:r>
    </w:p>
    <w:p>
      <w:pPr>
        <w:spacing w:after="0" w:line="175" w:lineRule="exact"/>
        <w:rPr>
          <w:sz w:val="20"/>
          <w:szCs w:val="20"/>
          <w:color w:val="auto"/>
        </w:rPr>
      </w:pPr>
    </w:p>
    <w:p>
      <w:pPr>
        <w:jc w:val="both"/>
        <w:ind w:right="3339" w:firstLine="179"/>
        <w:spacing w:after="0" w:line="241" w:lineRule="auto"/>
        <w:rPr>
          <w:sz w:val="20"/>
          <w:szCs w:val="20"/>
          <w:color w:val="auto"/>
        </w:rPr>
      </w:pPr>
      <w:r>
        <w:rPr>
          <w:rFonts w:ascii="Courier New" w:cs="Courier New" w:eastAsia="Courier New" w:hAnsi="Courier New"/>
          <w:sz w:val="15"/>
          <w:szCs w:val="15"/>
          <w:color w:val="auto"/>
        </w:rPr>
        <w:t>It is the Company's policy to enter into foreign exchange and interest rate swap contracts with diversified and reputable counterparties and as such, the Company does not anticipate non-performance by any counterparty.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at Risk</w:t>
      </w:r>
    </w:p>
    <w:p>
      <w:pPr>
        <w:spacing w:after="0" w:line="176" w:lineRule="exact"/>
        <w:rPr>
          <w:sz w:val="20"/>
          <w:szCs w:val="20"/>
          <w:color w:val="auto"/>
        </w:rPr>
      </w:pPr>
    </w:p>
    <w:p>
      <w:pPr>
        <w:ind w:right="3339" w:firstLine="179"/>
        <w:spacing w:after="0" w:line="241" w:lineRule="auto"/>
        <w:rPr>
          <w:sz w:val="20"/>
          <w:szCs w:val="20"/>
          <w:color w:val="auto"/>
        </w:rPr>
      </w:pPr>
      <w:r>
        <w:rPr>
          <w:rFonts w:ascii="Courier New" w:cs="Courier New" w:eastAsia="Courier New" w:hAnsi="Courier New"/>
          <w:sz w:val="15"/>
          <w:szCs w:val="15"/>
          <w:color w:val="auto"/>
        </w:rPr>
        <w:t>The Company's risk management procedures include the monitoring of interest rate and foreign exchange exposures and the Company's offsetting hedge positions utilizing statistical analyses of cash flows, market value,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sensitivity analysis and value-at-risk estimations. However, the use of these techniques to quantify the market risk of such instruments should not be construed as an endorsement of their accuracy or the accuracy of the related assumptions. The Company utilizes a Value-at-Risk (VAR) model and an Earnings-at-Risk (EAR) model that are intended to measure the maximum potential loss in its interest rate and foreign exchange financial instruments assuming adverse market conditions occur, given a 95% confidence level. The models utilize a variance/covariance modeling technique. Historical interest rates and foreign exchange rates from the preceding year are used to estimate the volatility and correlation of future rates.</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estimated maximum potential one-day loss in fair value of interest rate or foreign exchange rate instruments, calculated using the VAR model, is not material to the consolidated financial position, results of operations or cash flows of the Company. The estimated maximum yearly loss in earnings due to interest rate or foreign exchange rate instruments, calculated utilizing the EAR model, is not material to the Company's results of operations. Actual results in the future may differ materially from these projected results due to actual developments in the global financial markets.</w:t>
      </w:r>
    </w:p>
    <w:p>
      <w:pPr>
        <w:spacing w:after="0" w:line="177"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A discussion of the Company's accounting policies for financial instruments is included in the Summary of Significant Accounting Policies in the notes to the Consolidated Financial Statements, and further disclosure relating to financial instruments is included in the Fair Value of Financial Instruments note.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Changes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June 1998, the Financial Accounting Standards Board (FASB) issued Statement of Financial Accounting Standard (SFAS) No. 133, "Accounting for Derivative Instruments and Hedging Activities." SFAS 133, as amended, establishes accounting and reporting standards requiring that every derivative instrument be recorded in the balance sheet as either an asset or liability measured at its fair value. The statement requires that changes in the derivative's fair value be recognized currently in earnings or other comprehensive income depending on whether a derivative is designated as part of a hedge transaction. The adoption of SFAS 133 on January 1, 2001 did not result in a material impact on the Company's financial position, results of operations or cash flows.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July 2000, the FASB's Emerging Issues Task Force (EITF) reached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consensus on Issue No. 00-14, "Accounting for Certain Sales Incentives."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 addresses the recognition, measurement and income statement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classification for various types of sales incentives including discounts,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coupons, rebates and free products. The Company will adopt this consensus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April 1, 2001 and it is not expected to have a material impact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financial position, results of operations or cash flows.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adoption will result in the reclassification of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$150.6, $129.1 and $117.5 for the years ending December 31, 2000, 1999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respectively, from selling, general and administrative expenses to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reduction of net sales.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to the Euro Currency</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On January 1, 1999, certain member countries of the European Union established fixed conversion rates between their existing currencies and adopted the euro as their new common legal currency. As of that date, the euro began trading on currency exchanges and the legacy currencies were to remain legal tender in the participating countries for a transition period between January 1, 1999 and January 1, 2002.</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is addressing the issues involved with the introduction of the euro through its worldwide conversion to the SAP system and other measures. The more important issues facing the Company include reassessing currency risk and processing tax and accounting records.</w:t>
      </w:r>
    </w:p>
    <w:p>
      <w:pPr>
        <w:spacing w:after="0" w:line="175" w:lineRule="exact"/>
        <w:rPr>
          <w:sz w:val="20"/>
          <w:szCs w:val="20"/>
          <w:color w:val="auto"/>
        </w:rPr>
      </w:pPr>
    </w:p>
    <w:p>
      <w:pPr>
        <w:ind w:right="3339" w:firstLine="179"/>
        <w:spacing w:after="0" w:line="263" w:lineRule="auto"/>
        <w:rPr>
          <w:sz w:val="20"/>
          <w:szCs w:val="20"/>
          <w:color w:val="auto"/>
        </w:rPr>
      </w:pPr>
      <w:r>
        <w:rPr>
          <w:rFonts w:ascii="Courier New" w:cs="Courier New" w:eastAsia="Courier New" w:hAnsi="Courier New"/>
          <w:sz w:val="14"/>
          <w:szCs w:val="14"/>
          <w:color w:val="auto"/>
        </w:rPr>
        <w:t>Based upon progress to date, the Company believes that use of the euro will not have a significant impact on the manner in which it conducts its business affairs and processes its business and accounting records. Accordingly, conversion to the euro is not expected to have a material effect on the Company's financial position, cash flows or results of operations.</w:t>
      </w:r>
    </w:p>
    <w:p>
      <w:pPr>
        <w:spacing w:after="0" w:line="16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Looking forward into 2001, the Company is well positioned for continued growth in most of its markets. However, movements in foreign currency exchange rates can impact future operating results as measured in U.S. dollars. In particular, economic uncertainty in some countries in Latin America and changes in the value of the euro may impact the overall results of Latin America and Europe.</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expects the continued success of Colgate Total toothpaste, using patented proprietary technology, to bolster worldwide oral care leadership and expects new products in Oral Care and other categories to add potential for further growth. Overall, subject to global economic conditions, the Company does not expect the 2001 market conditions to be materially different from those experienced in 2000 and the Company expects its positive momentum to continue. Historically, the consumer products industry has been less susceptible to changes in economic growth than many other industries, and therefore the Company constantly evaluates projects that will focus operations on opportunities for enhanced growth potential. Over the long term, Colgate's continued focus on its consumer products business and the strength of its global brand names, its broad international presence in both developed and developing markets, and its strong capital base all position the Company to take advantage of growth opportunities and to continue to increase profitability and shareholder value.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Readers are cautioned that the Results of Operations and other sections of this report contain forward-looking statements that are based on management's estimates, assumptions and projections. A description of some of the factors that could cause actual results to differ materially from expectations expressed in the Company's forward-looking statements set forth in the Company's Form 8-K filed with the Securities and Exchange Commission on November 13, 1998 under the caption "Cautionary Statement on Forward-Looking Statements," together with any future such filings made with the Securities and Exchange Commission, are incorporated herein by reference. These factors include, but are not limited to, the risks associated with international operations, the activities of competitors, retail trade practices, the success of new product introductions, cost pressures, manufacturing and environmental matters.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6" w:lineRule="exact"/>
        <w:rPr>
          <w:sz w:val="20"/>
          <w:szCs w:val="20"/>
          <w:color w:val="auto"/>
        </w:rPr>
      </w:pPr>
    </w:p>
    <w:p>
      <w:pPr>
        <w:ind w:right="3339" w:firstLine="179"/>
        <w:spacing w:after="0"/>
        <w:rPr>
          <w:sz w:val="20"/>
          <w:szCs w:val="20"/>
          <w:color w:val="auto"/>
        </w:rPr>
      </w:pPr>
      <w:r>
        <w:rPr>
          <w:rFonts w:ascii="Courier New" w:cs="Courier New" w:eastAsia="Courier New" w:hAnsi="Courier New"/>
          <w:sz w:val="15"/>
          <w:szCs w:val="15"/>
          <w:color w:val="auto"/>
        </w:rPr>
        <w:t>See the "Index to Financial Statements" which is located on page 17 of this report.</w:t>
      </w:r>
    </w:p>
    <w:p>
      <w:pPr>
        <w:spacing w:after="0" w:line="176" w:lineRule="exact"/>
        <w:rPr>
          <w:sz w:val="20"/>
          <w:szCs w:val="20"/>
          <w:color w:val="auto"/>
        </w:rPr>
      </w:pPr>
    </w:p>
    <w:p>
      <w:pPr>
        <w:ind w:left="700" w:right="3879" w:hanging="715"/>
        <w:spacing w:after="0"/>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Information regarding directors and executive officers of the registrant set forth in the Proxy Statement for the 2001 Annual Meeting is incorporated herein by reference, as is the text in Part I of this report under the caption "Executive Officers of the Registrant".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The information set forth in the Proxy Statement for the 2001 Annual Meeting is incorporated herein by reference.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6" w:lineRule="exact"/>
        <w:rPr>
          <w:sz w:val="20"/>
          <w:szCs w:val="20"/>
          <w:color w:val="auto"/>
        </w:rPr>
      </w:pPr>
    </w:p>
    <w:p>
      <w:pPr>
        <w:ind w:right="3159" w:firstLine="171"/>
        <w:spacing w:after="0"/>
        <w:tabs>
          <w:tab w:leader="none" w:pos="53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ownership of management set forth in the Proxy Statement for the 2001 Annual Meeting is incorporated herein by reference.</w:t>
      </w:r>
    </w:p>
    <w:p>
      <w:pPr>
        <w:spacing w:after="0" w:line="176" w:lineRule="exact"/>
        <w:rPr>
          <w:rFonts w:ascii="Courier New" w:cs="Courier New" w:eastAsia="Courier New" w:hAnsi="Courier New"/>
          <w:sz w:val="15"/>
          <w:szCs w:val="15"/>
          <w:color w:val="auto"/>
        </w:rPr>
      </w:pPr>
    </w:p>
    <w:p>
      <w:pPr>
        <w:ind w:right="4059" w:firstLine="171"/>
        <w:spacing w:after="0"/>
        <w:tabs>
          <w:tab w:leader="none" w:pos="53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arrangements known to the registrant that may at a subsequent date result in a change in control of the registrant.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The information set forth in the Proxy Statement for the 2001 Annual Meeting is incorporated herein by reference.</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IV</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Financial Statements and Financial Statement Schedules</w:t>
      </w:r>
    </w:p>
    <w:p>
      <w:pPr>
        <w:spacing w:after="0" w:line="176" w:lineRule="exact"/>
        <w:rPr>
          <w:sz w:val="20"/>
          <w:szCs w:val="20"/>
          <w:color w:val="auto"/>
        </w:rPr>
      </w:pPr>
    </w:p>
    <w:p>
      <w:pPr>
        <w:ind w:right="3339" w:firstLine="179"/>
        <w:spacing w:after="0"/>
        <w:rPr>
          <w:sz w:val="20"/>
          <w:szCs w:val="20"/>
          <w:color w:val="auto"/>
        </w:rPr>
      </w:pPr>
      <w:r>
        <w:rPr>
          <w:rFonts w:ascii="Courier New" w:cs="Courier New" w:eastAsia="Courier New" w:hAnsi="Courier New"/>
          <w:sz w:val="15"/>
          <w:szCs w:val="15"/>
          <w:color w:val="auto"/>
        </w:rPr>
        <w:t>See the "Index to Financial Statements" which is located on page 17 of this report.</w:t>
      </w:r>
    </w:p>
    <w:p>
      <w:pPr>
        <w:spacing w:after="0" w:line="174" w:lineRule="exact"/>
        <w:rPr>
          <w:sz w:val="20"/>
          <w:szCs w:val="20"/>
          <w:color w:val="auto"/>
        </w:rPr>
      </w:pPr>
    </w:p>
    <w:p>
      <w:pPr>
        <w:ind w:left="520" w:hanging="349"/>
        <w:spacing w:after="0"/>
        <w:tabs>
          <w:tab w:leader="none" w:pos="5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See the exhibit index which is included herein.</w:t>
      </w:r>
    </w:p>
    <w:p>
      <w:pPr>
        <w:spacing w:after="0" w:line="174" w:lineRule="exact"/>
        <w:rPr>
          <w:rFonts w:ascii="Courier New" w:cs="Courier New" w:eastAsia="Courier New" w:hAnsi="Courier New"/>
          <w:sz w:val="15"/>
          <w:szCs w:val="15"/>
          <w:color w:val="auto"/>
        </w:rPr>
      </w:pPr>
    </w:p>
    <w:p>
      <w:pPr>
        <w:ind w:left="520" w:hanging="349"/>
        <w:spacing w:after="0"/>
        <w:tabs>
          <w:tab w:leader="none" w:pos="5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977" w:right="1440" w:bottom="1440" w:gutter="0" w:footer="0" w:header="0"/>
        </w:sectPr>
      </w:pPr>
    </w:p>
    <w:bookmarkStart w:id="14" w:name="page15"/>
    <w:bookmarkEnd w:id="14"/>
    <w:p>
      <w:pPr>
        <w:ind w:left="3040"/>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right="3339" w:firstLine="179"/>
        <w:spacing w:after="0" w:line="241"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Colgate-Palmolive Company</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(Registrant)</w:t>
      </w:r>
    </w:p>
    <w:p>
      <w:pPr>
        <w:spacing w:after="0" w:line="174" w:lineRule="exact"/>
        <w:rPr>
          <w:sz w:val="20"/>
          <w:szCs w:val="20"/>
          <w:color w:val="auto"/>
        </w:rPr>
      </w:pPr>
    </w:p>
    <w:p>
      <w:pPr>
        <w:ind w:left="3740"/>
        <w:spacing w:after="0"/>
        <w:tabs>
          <w:tab w:leader="none" w:pos="44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Reuben Mark</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580"/>
        <w:spacing w:after="0"/>
        <w:rPr>
          <w:sz w:val="20"/>
          <w:szCs w:val="20"/>
          <w:color w:val="auto"/>
        </w:rPr>
      </w:pPr>
      <w:r>
        <w:rPr>
          <w:rFonts w:ascii="Courier New" w:cs="Courier New" w:eastAsia="Courier New" w:hAnsi="Courier New"/>
          <w:sz w:val="15"/>
          <w:szCs w:val="15"/>
          <w:color w:val="auto"/>
        </w:rPr>
        <w:t>Reuben Mark</w:t>
      </w:r>
    </w:p>
    <w:p>
      <w:pPr>
        <w:spacing w:after="0" w:line="2" w:lineRule="exact"/>
        <w:rPr>
          <w:sz w:val="20"/>
          <w:szCs w:val="20"/>
          <w:color w:val="auto"/>
        </w:rPr>
      </w:pPr>
    </w:p>
    <w:p>
      <w:pPr>
        <w:jc w:val="center"/>
        <w:ind w:right="-580"/>
        <w:spacing w:after="0"/>
        <w:rPr>
          <w:sz w:val="20"/>
          <w:szCs w:val="20"/>
          <w:color w:val="auto"/>
        </w:rPr>
      </w:pPr>
      <w:r>
        <w:rPr>
          <w:rFonts w:ascii="Courier New" w:cs="Courier New" w:eastAsia="Courier New" w:hAnsi="Courier New"/>
          <w:sz w:val="15"/>
          <w:szCs w:val="15"/>
          <w:color w:val="auto"/>
        </w:rPr>
        <w:t>Chairman of the Board and Chief</w:t>
      </w:r>
    </w:p>
    <w:p>
      <w:pPr>
        <w:spacing w:after="0" w:line="2" w:lineRule="exact"/>
        <w:rPr>
          <w:sz w:val="20"/>
          <w:szCs w:val="20"/>
          <w:color w:val="auto"/>
        </w:rPr>
      </w:pPr>
    </w:p>
    <w:p>
      <w:pPr>
        <w:jc w:val="center"/>
        <w:ind w:right="-580"/>
        <w:spacing w:after="0"/>
        <w:rPr>
          <w:sz w:val="20"/>
          <w:szCs w:val="20"/>
          <w:color w:val="auto"/>
        </w:rPr>
      </w:pPr>
      <w:r>
        <w:rPr>
          <w:rFonts w:ascii="Courier New" w:cs="Courier New" w:eastAsia="Courier New" w:hAnsi="Courier New"/>
          <w:sz w:val="15"/>
          <w:szCs w:val="15"/>
          <w:color w:val="auto"/>
        </w:rPr>
        <w:t>Executive Officer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28, 2001</w:t>
      </w:r>
    </w:p>
    <w:p>
      <w:pPr>
        <w:spacing w:after="0" w:line="176" w:lineRule="exact"/>
        <w:rPr>
          <w:sz w:val="20"/>
          <w:szCs w:val="20"/>
          <w:color w:val="auto"/>
        </w:rPr>
      </w:pPr>
    </w:p>
    <w:p>
      <w:pPr>
        <w:jc w:val="both"/>
        <w:ind w:right="3519" w:firstLine="179"/>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on March 28, 2001 by the following persons on behalf of the registrant and in the capacities indicated.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Principal Executive Officer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3840" w:type="dxa"/>
            <w:vAlign w:val="bottom"/>
          </w:tcPr>
          <w:p>
            <w:pPr>
              <w:ind w:left="340"/>
              <w:spacing w:after="0"/>
              <w:rPr>
                <w:sz w:val="20"/>
                <w:szCs w:val="20"/>
                <w:color w:val="auto"/>
              </w:rPr>
            </w:pPr>
            <w:r>
              <w:rPr>
                <w:rFonts w:ascii="Courier New" w:cs="Courier New" w:eastAsia="Courier New" w:hAnsi="Courier New"/>
                <w:sz w:val="15"/>
                <w:szCs w:val="15"/>
                <w:color w:val="auto"/>
              </w:rPr>
              <w:t>(c) Principal Accounting Officer</w:t>
            </w:r>
          </w:p>
        </w:tc>
      </w:tr>
      <w:tr>
        <w:trPr>
          <w:trHeight w:val="344"/>
        </w:trPr>
        <w:tc>
          <w:tcPr>
            <w:tcW w:w="34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/s/ Reuben Mark</w:t>
            </w:r>
          </w:p>
        </w:tc>
        <w:tc>
          <w:tcPr>
            <w:tcW w:w="38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/s/ Dennis J. Hickey</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3840" w:type="dxa"/>
            <w:vAlign w:val="bottom"/>
          </w:tcPr>
          <w:p>
            <w:pPr>
              <w:ind w:left="52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4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Reuben Mark</w:t>
            </w:r>
          </w:p>
        </w:tc>
        <w:tc>
          <w:tcPr>
            <w:tcW w:w="38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Dennis J. Hickey</w:t>
            </w:r>
          </w:p>
        </w:tc>
      </w:tr>
      <w:tr>
        <w:trPr>
          <w:trHeight w:val="172"/>
        </w:trPr>
        <w:tc>
          <w:tcPr>
            <w:tcW w:w="340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Chairman of the Board</w:t>
            </w:r>
          </w:p>
        </w:tc>
        <w:tc>
          <w:tcPr>
            <w:tcW w:w="38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Vice President and</w:t>
            </w:r>
          </w:p>
        </w:tc>
      </w:tr>
      <w:tr>
        <w:trPr>
          <w:trHeight w:val="172"/>
        </w:trPr>
        <w:tc>
          <w:tcPr>
            <w:tcW w:w="34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and Chief Executive Officer</w:t>
            </w:r>
          </w:p>
        </w:tc>
        <w:tc>
          <w:tcPr>
            <w:tcW w:w="38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Corporate Controller</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(b) Principal Financial Officer</w:t>
            </w:r>
          </w:p>
        </w:tc>
        <w:tc>
          <w:tcPr>
            <w:tcW w:w="3840" w:type="dxa"/>
            <w:vAlign w:val="bottom"/>
          </w:tcPr>
          <w:p>
            <w:pPr>
              <w:spacing w:after="0"/>
              <w:rPr>
                <w:sz w:val="24"/>
                <w:szCs w:val="24"/>
                <w:color w:val="auto"/>
              </w:rPr>
            </w:pPr>
          </w:p>
        </w:tc>
      </w:tr>
      <w:tr>
        <w:trPr>
          <w:trHeight w:val="344"/>
        </w:trPr>
        <w:tc>
          <w:tcPr>
            <w:tcW w:w="3400" w:type="dxa"/>
            <w:vAlign w:val="bottom"/>
          </w:tcPr>
          <w:p>
            <w:pPr>
              <w:spacing w:after="0"/>
              <w:rPr>
                <w:sz w:val="24"/>
                <w:szCs w:val="24"/>
                <w:color w:val="auto"/>
              </w:rPr>
            </w:pPr>
          </w:p>
        </w:tc>
        <w:tc>
          <w:tcPr>
            <w:tcW w:w="3840" w:type="dxa"/>
            <w:vAlign w:val="bottom"/>
          </w:tcPr>
          <w:p>
            <w:pPr>
              <w:ind w:left="340"/>
              <w:spacing w:after="0"/>
              <w:rPr>
                <w:sz w:val="20"/>
                <w:szCs w:val="20"/>
                <w:color w:val="auto"/>
              </w:rPr>
            </w:pPr>
            <w:r>
              <w:rPr>
                <w:rFonts w:ascii="Courier New" w:cs="Courier New" w:eastAsia="Courier New" w:hAnsi="Courier New"/>
                <w:sz w:val="15"/>
                <w:szCs w:val="15"/>
                <w:color w:val="auto"/>
              </w:rPr>
              <w:t>(d) Directors:</w:t>
            </w:r>
          </w:p>
        </w:tc>
      </w:tr>
      <w:tr>
        <w:trPr>
          <w:trHeight w:val="344"/>
        </w:trPr>
        <w:tc>
          <w:tcPr>
            <w:tcW w:w="34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/s/ Stephen C. Patrick</w:t>
            </w:r>
          </w:p>
        </w:tc>
        <w:tc>
          <w:tcPr>
            <w:tcW w:w="3840" w:type="dxa"/>
            <w:vAlign w:val="bottom"/>
          </w:tcPr>
          <w:p>
            <w:pPr>
              <w:ind w:left="340"/>
              <w:spacing w:after="0"/>
              <w:rPr>
                <w:sz w:val="20"/>
                <w:szCs w:val="20"/>
                <w:color w:val="auto"/>
              </w:rPr>
            </w:pPr>
            <w:r>
              <w:rPr>
                <w:rFonts w:ascii="Courier New" w:cs="Courier New" w:eastAsia="Courier New" w:hAnsi="Courier New"/>
                <w:sz w:val="15"/>
                <w:szCs w:val="15"/>
                <w:color w:val="auto"/>
              </w:rPr>
              <w:t>Jill K. Conway, Ronald E. Ferguson,</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3840" w:type="dxa"/>
            <w:vAlign w:val="bottom"/>
          </w:tcPr>
          <w:p>
            <w:pPr>
              <w:ind w:left="520"/>
              <w:spacing w:after="0"/>
              <w:rPr>
                <w:sz w:val="20"/>
                <w:szCs w:val="20"/>
                <w:color w:val="auto"/>
              </w:rPr>
            </w:pPr>
            <w:r>
              <w:rPr>
                <w:rFonts w:ascii="Courier New" w:cs="Courier New" w:eastAsia="Courier New" w:hAnsi="Courier New"/>
                <w:sz w:val="15"/>
                <w:szCs w:val="15"/>
                <w:color w:val="auto"/>
              </w:rPr>
              <w:t>Ellen M. Hancock, David W. Johnson,</w:t>
            </w:r>
          </w:p>
        </w:tc>
      </w:tr>
      <w:tr>
        <w:trPr>
          <w:trHeight w:val="172"/>
        </w:trPr>
        <w:tc>
          <w:tcPr>
            <w:tcW w:w="34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Stephen C. Patrick</w:t>
            </w:r>
          </w:p>
        </w:tc>
        <w:tc>
          <w:tcPr>
            <w:tcW w:w="3840" w:type="dxa"/>
            <w:vAlign w:val="bottom"/>
          </w:tcPr>
          <w:p>
            <w:pPr>
              <w:ind w:left="340"/>
              <w:spacing w:after="0"/>
              <w:rPr>
                <w:sz w:val="20"/>
                <w:szCs w:val="20"/>
                <w:color w:val="auto"/>
              </w:rPr>
            </w:pPr>
            <w:r>
              <w:rPr>
                <w:rFonts w:ascii="Courier New" w:cs="Courier New" w:eastAsia="Courier New" w:hAnsi="Courier New"/>
                <w:sz w:val="15"/>
                <w:szCs w:val="15"/>
                <w:color w:val="auto"/>
              </w:rPr>
              <w:t>John P. Kendall, Richard J. Kogan,</w:t>
            </w:r>
          </w:p>
        </w:tc>
      </w:tr>
      <w:tr>
        <w:trPr>
          <w:trHeight w:val="172"/>
        </w:trPr>
        <w:tc>
          <w:tcPr>
            <w:tcW w:w="34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Chief Financial Officer</w:t>
            </w:r>
          </w:p>
        </w:tc>
        <w:tc>
          <w:tcPr>
            <w:tcW w:w="3840" w:type="dxa"/>
            <w:vAlign w:val="bottom"/>
          </w:tcPr>
          <w:p>
            <w:pPr>
              <w:ind w:left="340"/>
              <w:spacing w:after="0"/>
              <w:rPr>
                <w:sz w:val="20"/>
                <w:szCs w:val="20"/>
                <w:color w:val="auto"/>
              </w:rPr>
            </w:pPr>
            <w:r>
              <w:rPr>
                <w:rFonts w:ascii="Courier New" w:cs="Courier New" w:eastAsia="Courier New" w:hAnsi="Courier New"/>
                <w:sz w:val="15"/>
                <w:szCs w:val="15"/>
                <w:color w:val="auto"/>
              </w:rPr>
              <w:t>Reuben Mark, Howard B. Wentz, Jr.</w:t>
            </w:r>
          </w:p>
        </w:tc>
      </w:tr>
      <w:tr>
        <w:trPr>
          <w:trHeight w:val="344"/>
        </w:trPr>
        <w:tc>
          <w:tcPr>
            <w:tcW w:w="3400" w:type="dxa"/>
            <w:vAlign w:val="bottom"/>
          </w:tcPr>
          <w:p>
            <w:pPr>
              <w:spacing w:after="0"/>
              <w:rPr>
                <w:sz w:val="24"/>
                <w:szCs w:val="24"/>
                <w:color w:val="auto"/>
              </w:rPr>
            </w:pPr>
          </w:p>
        </w:tc>
        <w:tc>
          <w:tcPr>
            <w:tcW w:w="38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/s/ Andrew D. Hendry</w:t>
            </w:r>
          </w:p>
        </w:tc>
      </w:tr>
      <w:tr>
        <w:trPr>
          <w:trHeight w:val="172"/>
        </w:trPr>
        <w:tc>
          <w:tcPr>
            <w:tcW w:w="3400" w:type="dxa"/>
            <w:vAlign w:val="bottom"/>
          </w:tcPr>
          <w:p>
            <w:pPr>
              <w:spacing w:after="0"/>
              <w:rPr>
                <w:sz w:val="14"/>
                <w:szCs w:val="14"/>
                <w:color w:val="auto"/>
              </w:rPr>
            </w:pPr>
          </w:p>
        </w:tc>
        <w:tc>
          <w:tcPr>
            <w:tcW w:w="38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38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Andrew D. Hendry</w:t>
            </w:r>
          </w:p>
        </w:tc>
      </w:tr>
      <w:tr>
        <w:trPr>
          <w:trHeight w:val="172"/>
        </w:trPr>
        <w:tc>
          <w:tcPr>
            <w:tcW w:w="3400" w:type="dxa"/>
            <w:vAlign w:val="bottom"/>
          </w:tcPr>
          <w:p>
            <w:pPr>
              <w:spacing w:after="0"/>
              <w:rPr>
                <w:sz w:val="14"/>
                <w:szCs w:val="14"/>
                <w:color w:val="auto"/>
              </w:rPr>
            </w:pPr>
          </w:p>
        </w:tc>
        <w:tc>
          <w:tcPr>
            <w:tcW w:w="3840" w:type="dxa"/>
            <w:vAlign w:val="bottom"/>
          </w:tcPr>
          <w:p>
            <w:pPr>
              <w:ind w:left="1160"/>
              <w:spacing w:after="0"/>
              <w:rPr>
                <w:sz w:val="20"/>
                <w:szCs w:val="20"/>
                <w:color w:val="auto"/>
              </w:rPr>
            </w:pPr>
            <w:r>
              <w:rPr>
                <w:rFonts w:ascii="Courier New" w:cs="Courier New" w:eastAsia="Courier New" w:hAnsi="Courier New"/>
                <w:sz w:val="15"/>
                <w:szCs w:val="15"/>
                <w:color w:val="auto"/>
              </w:rPr>
              <w:t>as Attorney-in-Fact</w:t>
            </w:r>
          </w:p>
        </w:tc>
      </w:tr>
      <w:tr>
        <w:trPr>
          <w:trHeight w:val="344"/>
        </w:trPr>
        <w:tc>
          <w:tcPr>
            <w:tcW w:w="340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Courier New" w:cs="Courier New" w:eastAsia="Courier New" w:hAnsi="Courier New"/>
                <w:sz w:val="15"/>
                <w:szCs w:val="15"/>
                <w:color w:val="auto"/>
              </w:rPr>
              <w:t>15</w:t>
            </w:r>
          </w:p>
        </w:tc>
      </w:tr>
    </w:tbl>
    <w:p>
      <w:pPr>
        <w:sectPr>
          <w:pgSz w:w="11900" w:h="16838" w:orient="portrait"/>
          <w:cols w:equalWidth="0" w:num="1">
            <w:col w:w="10219"/>
          </w:cols>
          <w:pgMar w:left="240" w:top="633" w:right="1440" w:bottom="1440" w:gutter="0" w:footer="0" w:header="0"/>
        </w:sectPr>
      </w:pPr>
    </w:p>
    <w:bookmarkStart w:id="15" w:name="page16"/>
    <w:bookmarkEnd w:id="15"/>
    <w:p>
      <w:pPr>
        <w:jc w:val="center"/>
        <w:ind w:right="4379"/>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FORM 10-K</w:t>
      </w:r>
    </w:p>
    <w:p>
      <w:pPr>
        <w:spacing w:after="0" w:line="174"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FINANCIAL STATEMENTS</w:t>
      </w:r>
    </w:p>
    <w:p>
      <w:pPr>
        <w:spacing w:after="0" w:line="4"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For The Year Ended December 31, 2000</w:t>
      </w:r>
    </w:p>
    <w:p>
      <w:pPr>
        <w:spacing w:after="0" w:line="184"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NEW YORK, NEW YORK 10022</w:t>
      </w:r>
    </w:p>
    <w:p>
      <w:pPr>
        <w:spacing w:after="0" w:line="17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977" w:right="1440" w:bottom="1440" w:gutter="0" w:footer="0" w:header="0"/>
        </w:sectPr>
      </w:pPr>
    </w:p>
    <w:bookmarkStart w:id="16" w:name="page17"/>
    <w:bookmarkEnd w:id="16"/>
    <w:p>
      <w:pPr>
        <w:ind w:left="2220"/>
        <w:spacing w:after="0"/>
        <w:rPr>
          <w:sz w:val="20"/>
          <w:szCs w:val="20"/>
          <w:color w:val="auto"/>
        </w:rPr>
      </w:pPr>
      <w:r>
        <w:rPr>
          <w:rFonts w:ascii="Courier New" w:cs="Courier New" w:eastAsia="Courier New" w:hAnsi="Courier New"/>
          <w:sz w:val="15"/>
          <w:szCs w:val="15"/>
          <w:color w:val="auto"/>
        </w:rPr>
        <w:t>Index to Financial Statements</w:t>
      </w:r>
    </w:p>
    <w:p>
      <w:pPr>
        <w:spacing w:after="0" w:line="200" w:lineRule="exact"/>
        <w:rPr>
          <w:sz w:val="20"/>
          <w:szCs w:val="20"/>
          <w:color w:val="auto"/>
        </w:rPr>
      </w:pPr>
    </w:p>
    <w:p>
      <w:pPr>
        <w:spacing w:after="0" w:line="318"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 for the years</w:t>
      </w:r>
    </w:p>
    <w:p>
      <w:pPr>
        <w:spacing w:after="0" w:line="2" w:lineRule="exact"/>
        <w:rPr>
          <w:sz w:val="20"/>
          <w:szCs w:val="20"/>
          <w:color w:val="auto"/>
        </w:rPr>
      </w:pPr>
    </w:p>
    <w:p>
      <w:pPr>
        <w:ind w:left="80"/>
        <w:spacing w:after="0"/>
        <w:tabs>
          <w:tab w:leader="dot" w:pos="6860" w:val="left"/>
        </w:tabs>
        <w:rPr>
          <w:sz w:val="20"/>
          <w:szCs w:val="20"/>
          <w:color w:val="auto"/>
        </w:rPr>
      </w:pPr>
      <w:r>
        <w:rPr>
          <w:rFonts w:ascii="Courier New" w:cs="Courier New" w:eastAsia="Courier New" w:hAnsi="Courier New"/>
          <w:sz w:val="15"/>
          <w:szCs w:val="15"/>
          <w:color w:val="auto"/>
        </w:rPr>
        <w:t>ended December 31, 2000, 1999, and 1998</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Consolidated Balance Sheets at December 31, 2000 and 1999</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Retained Earnings, Comprehensive Income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Changes in Capital Accounts for the years ended</w:t>
      </w:r>
    </w:p>
    <w:p>
      <w:pPr>
        <w:spacing w:after="0" w:line="2" w:lineRule="exact"/>
        <w:rPr>
          <w:sz w:val="20"/>
          <w:szCs w:val="20"/>
          <w:color w:val="auto"/>
        </w:rPr>
      </w:pPr>
    </w:p>
    <w:p>
      <w:pPr>
        <w:ind w:left="80"/>
        <w:spacing w:after="0"/>
        <w:tabs>
          <w:tab w:leader="dot" w:pos="6860" w:val="left"/>
        </w:tabs>
        <w:rPr>
          <w:sz w:val="20"/>
          <w:szCs w:val="20"/>
          <w:color w:val="auto"/>
        </w:rPr>
      </w:pPr>
      <w:r>
        <w:rPr>
          <w:rFonts w:ascii="Courier New" w:cs="Courier New" w:eastAsia="Courier New" w:hAnsi="Courier New"/>
          <w:sz w:val="15"/>
          <w:szCs w:val="15"/>
          <w:color w:val="auto"/>
        </w:rPr>
        <w:t>December 31, 2000, 1999 and 1998</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 for the years</w:t>
      </w:r>
    </w:p>
    <w:p>
      <w:pPr>
        <w:spacing w:after="0" w:line="2" w:lineRule="exact"/>
        <w:rPr>
          <w:sz w:val="20"/>
          <w:szCs w:val="20"/>
          <w:color w:val="auto"/>
        </w:rPr>
      </w:pPr>
    </w:p>
    <w:p>
      <w:pPr>
        <w:ind w:left="80"/>
        <w:spacing w:after="0"/>
        <w:tabs>
          <w:tab w:leader="dot" w:pos="6860" w:val="left"/>
        </w:tabs>
        <w:rPr>
          <w:sz w:val="20"/>
          <w:szCs w:val="20"/>
          <w:color w:val="auto"/>
        </w:rPr>
      </w:pPr>
      <w:r>
        <w:rPr>
          <w:rFonts w:ascii="Courier New" w:cs="Courier New" w:eastAsia="Courier New" w:hAnsi="Courier New"/>
          <w:sz w:val="15"/>
          <w:szCs w:val="15"/>
          <w:color w:val="auto"/>
        </w:rPr>
        <w:t>ended December 31, 2000, 1999 and 1998</w:t>
      </w:r>
      <w:r>
        <w:rPr>
          <w:sz w:val="20"/>
          <w:szCs w:val="20"/>
          <w:color w:val="auto"/>
        </w:rPr>
        <w:tab/>
      </w:r>
      <w:r>
        <w:rPr>
          <w:rFonts w:ascii="Courier New" w:cs="Courier New" w:eastAsia="Courier New" w:hAnsi="Courier New"/>
          <w:sz w:val="15"/>
          <w:szCs w:val="15"/>
          <w:color w:val="auto"/>
        </w:rPr>
        <w:t>21</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22</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Market and Dividend Information</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 Schedules for the years ended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December 31, 2000, 1999 and 1998:</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Schedule II--Valuation and Qualifying Accounts</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Report of Independent Public Accountants</w:t>
      </w:r>
      <w:r>
        <w:rPr>
          <w:sz w:val="20"/>
          <w:szCs w:val="20"/>
          <w:color w:val="auto"/>
        </w:rPr>
        <w:tab/>
      </w:r>
      <w:r>
        <w:rPr>
          <w:rFonts w:ascii="Courier New" w:cs="Courier New" w:eastAsia="Courier New" w:hAnsi="Courier New"/>
          <w:sz w:val="15"/>
          <w:szCs w:val="15"/>
          <w:color w:val="auto"/>
        </w:rPr>
        <w:t>42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Historical Financial Summary</w:t>
      </w:r>
      <w:r>
        <w:rPr>
          <w:sz w:val="20"/>
          <w:szCs w:val="20"/>
          <w:color w:val="auto"/>
        </w:rPr>
        <w:tab/>
      </w:r>
      <w:r>
        <w:rPr>
          <w:rFonts w:ascii="Courier New" w:cs="Courier New" w:eastAsia="Courier New" w:hAnsi="Courier New"/>
          <w:sz w:val="15"/>
          <w:szCs w:val="15"/>
          <w:color w:val="auto"/>
        </w:rPr>
        <w:t>43</w:t>
      </w:r>
    </w:p>
    <w:p>
      <w:pPr>
        <w:spacing w:after="0" w:line="348" w:lineRule="exact"/>
        <w:rPr>
          <w:sz w:val="20"/>
          <w:szCs w:val="20"/>
          <w:color w:val="auto"/>
        </w:rPr>
      </w:pPr>
    </w:p>
    <w:p>
      <w:pPr>
        <w:ind w:right="3339" w:firstLine="179"/>
        <w:spacing w:after="0" w:line="241" w:lineRule="auto"/>
        <w:rPr>
          <w:sz w:val="20"/>
          <w:szCs w:val="20"/>
          <w:color w:val="auto"/>
        </w:rPr>
      </w:pPr>
      <w:r>
        <w:rPr>
          <w:rFonts w:ascii="Courier New" w:cs="Courier New" w:eastAsia="Courier New" w:hAnsi="Courier New"/>
          <w:sz w:val="15"/>
          <w:szCs w:val="15"/>
          <w:color w:val="auto"/>
        </w:rPr>
        <w:t>All other financial statements and schedules not listed have been omitted since the required information is included in the financial statements or the notes thereto or is not applicable or required.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3" w:right="1440" w:bottom="1440" w:gutter="0" w:footer="0" w:header="0"/>
        </w:sectPr>
      </w:pPr>
    </w:p>
    <w:bookmarkStart w:id="17" w:name="page18"/>
    <w:bookmarkEnd w:id="17"/>
    <w:p>
      <w:pPr>
        <w:jc w:val="center"/>
        <w:ind w:right="317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7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Net sales............................................</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$9,357.9</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$9,118.2</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$8,971.6</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Cost of sales........................................</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4,265.5</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4,224.0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4,290.3</w:t>
            </w:r>
          </w:p>
        </w:tc>
      </w:tr>
      <w:tr>
        <w:trPr>
          <w:trHeight w:val="172"/>
        </w:trPr>
        <w:tc>
          <w:tcPr>
            <w:tcW w:w="47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Gross profit.......................................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5,092.4</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4,894.2</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4,681.3</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Selling, general and administrative expenses.........</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3,299.6</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3,254.4</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3,197.1</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expense, net...................................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52.3</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73.6</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expense, net................................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173.3</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171.6</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172.9</w:t>
            </w:r>
          </w:p>
        </w:tc>
      </w:tr>
      <w:tr>
        <w:trPr>
          <w:trHeight w:val="172"/>
        </w:trPr>
        <w:tc>
          <w:tcPr>
            <w:tcW w:w="47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before income taxes...........................</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1,567.2</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1,394.6</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1,250.1</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Provision for income taxes...........................</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503.4</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457.3</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401.5</w:t>
            </w:r>
          </w:p>
        </w:tc>
      </w:tr>
      <w:tr>
        <w:trPr>
          <w:trHeight w:val="172"/>
        </w:trPr>
        <w:tc>
          <w:tcPr>
            <w:tcW w:w="47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$1,063.8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937.3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848.6</w:t>
            </w:r>
          </w:p>
        </w:tc>
      </w:tr>
      <w:tr>
        <w:trPr>
          <w:trHeight w:val="172"/>
        </w:trPr>
        <w:tc>
          <w:tcPr>
            <w:tcW w:w="47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Earnings per common share, basic.....................</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r>
      <w:tr>
        <w:trPr>
          <w:trHeight w:val="172"/>
        </w:trPr>
        <w:tc>
          <w:tcPr>
            <w:tcW w:w="47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Earnings per common share, diluted...................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2"/>
        </w:trPr>
        <w:tc>
          <w:tcPr>
            <w:tcW w:w="47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3" w:right="1440" w:bottom="1440" w:gutter="0" w:footer="0" w:header="0"/>
        </w:sectPr>
      </w:pPr>
    </w:p>
    <w:bookmarkStart w:id="18" w:name="page19"/>
    <w:bookmarkEnd w:id="18"/>
    <w:p>
      <w:pPr>
        <w:jc w:val="center"/>
        <w:ind w:right="317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Balance Sheets</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1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206.6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Marketable securities..................................</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35.6</w:t>
            </w:r>
          </w:p>
        </w:tc>
      </w:tr>
      <w:tr>
        <w:trPr>
          <w:trHeight w:val="172"/>
        </w:trPr>
        <w:tc>
          <w:tcPr>
            <w:tcW w:w="51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Receivables (less allowances of $39.8 and $37.2,</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respectively).........................................</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1,195.4</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1,100.8</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Inventories............................................</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686.6</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783.7</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Other current assets...................................</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252.7</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235.1</w:t>
            </w:r>
          </w:p>
        </w:tc>
      </w:tr>
      <w:tr>
        <w:trPr>
          <w:trHeight w:val="172"/>
        </w:trPr>
        <w:tc>
          <w:tcPr>
            <w:tcW w:w="51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2,347.2</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2,354.8</w:t>
            </w:r>
          </w:p>
        </w:tc>
      </w:tr>
      <w:tr>
        <w:trPr>
          <w:trHeight w:val="344"/>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Property, plant and equipment, net......................</w:t>
            </w:r>
          </w:p>
        </w:tc>
        <w:tc>
          <w:tcPr>
            <w:tcW w:w="120" w:type="dxa"/>
            <w:vAlign w:val="bottom"/>
          </w:tcPr>
          <w:p>
            <w:pPr>
              <w:spacing w:after="0"/>
              <w:rPr>
                <w:sz w:val="24"/>
                <w:szCs w:val="2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2,528.3</w:t>
            </w:r>
          </w:p>
        </w:tc>
        <w:tc>
          <w:tcPr>
            <w:tcW w:w="14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2,551.1</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Goodwill and other intangibles, net.....................</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2,096.4</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2,185.4</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280.4</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331.8</w:t>
            </w:r>
          </w:p>
        </w:tc>
      </w:tr>
      <w:tr>
        <w:trPr>
          <w:trHeight w:val="172"/>
        </w:trPr>
        <w:tc>
          <w:tcPr>
            <w:tcW w:w="51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140" w:type="dxa"/>
            <w:vAlign w:val="bottom"/>
          </w:tcPr>
          <w:p>
            <w:pPr>
              <w:spacing w:after="0"/>
              <w:rPr>
                <w:sz w:val="24"/>
                <w:szCs w:val="2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$ 7,252.3</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$ 7,423.1</w:t>
            </w:r>
          </w:p>
        </w:tc>
      </w:tr>
      <w:tr>
        <w:trPr>
          <w:trHeight w:val="172"/>
        </w:trPr>
        <w:tc>
          <w:tcPr>
            <w:tcW w:w="51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Notes and loans payable................................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121.1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207.3</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320.2</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338.9</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738.9</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764.8</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Accrued income taxes...................................</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163.7</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116.6</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Other accruals.........................................</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900.2</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845.9</w:t>
            </w:r>
          </w:p>
        </w:tc>
      </w:tr>
      <w:tr>
        <w:trPr>
          <w:trHeight w:val="172"/>
        </w:trPr>
        <w:tc>
          <w:tcPr>
            <w:tcW w:w="51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2,244.1</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2,273.5</w:t>
            </w:r>
          </w:p>
        </w:tc>
      </w:tr>
      <w:tr>
        <w:trPr>
          <w:trHeight w:val="344"/>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w w:val="99"/>
              </w:rPr>
              <w:t>Long-term debt...........................................</w:t>
            </w:r>
          </w:p>
        </w:tc>
        <w:tc>
          <w:tcPr>
            <w:tcW w:w="120" w:type="dxa"/>
            <w:vAlign w:val="bottom"/>
          </w:tcPr>
          <w:p>
            <w:pPr>
              <w:spacing w:after="0"/>
              <w:rPr>
                <w:sz w:val="24"/>
                <w:szCs w:val="2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2,536.9</w:t>
            </w:r>
          </w:p>
        </w:tc>
        <w:tc>
          <w:tcPr>
            <w:tcW w:w="14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2,243.3</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w w:val="99"/>
              </w:rPr>
              <w:t>Deferred income taxes....................................</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447.3</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398.6</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 liabilities........................................</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555.9</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674.0</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Preferred stock........................................</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354.1</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366.5</w:t>
            </w:r>
          </w:p>
        </w:tc>
      </w:tr>
      <w:tr>
        <w:trPr>
          <w:trHeight w:val="172"/>
        </w:trPr>
        <w:tc>
          <w:tcPr>
            <w:tcW w:w="51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Common stock, $1 par value (1,000,000,000 shares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authorized, 732,853,180 shares issued)................</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732.9</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732.9</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1,144.9</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1,063.2</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Retained earnings......................................</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4,893.7</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4,212.3</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Cumulative translation adjustments.....................</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(1,269.7)</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(1,136.2)</w:t>
            </w:r>
          </w:p>
        </w:tc>
      </w:tr>
      <w:tr>
        <w:trPr>
          <w:trHeight w:val="172"/>
        </w:trPr>
        <w:tc>
          <w:tcPr>
            <w:tcW w:w="51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5,855.9</w:t>
            </w:r>
          </w:p>
        </w:tc>
        <w:tc>
          <w:tcPr>
            <w:tcW w:w="14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5,238.7</w:t>
            </w:r>
          </w:p>
        </w:tc>
      </w:tr>
      <w:tr>
        <w:trPr>
          <w:trHeight w:val="344"/>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Unearned compensation..................................</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(344.4)</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(348.6)</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Treasury stock, at cost................................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(4,043.4)</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(3,056.4)</w:t>
            </w:r>
          </w:p>
        </w:tc>
      </w:tr>
      <w:tr>
        <w:trPr>
          <w:trHeight w:val="172"/>
        </w:trPr>
        <w:tc>
          <w:tcPr>
            <w:tcW w:w="51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Total shareholders' equity...........................</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1,468.1</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1,833.7</w:t>
            </w:r>
          </w:p>
        </w:tc>
      </w:tr>
      <w:tr>
        <w:trPr>
          <w:trHeight w:val="172"/>
        </w:trPr>
        <w:tc>
          <w:tcPr>
            <w:tcW w:w="51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$ 7,252.3</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$ 7,423.1</w:t>
            </w:r>
          </w:p>
        </w:tc>
      </w:tr>
      <w:tr>
        <w:trPr>
          <w:trHeight w:val="172"/>
        </w:trPr>
        <w:tc>
          <w:tcPr>
            <w:tcW w:w="514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3" w:right="1440" w:bottom="1440" w:gutter="0" w:footer="0" w:header="0"/>
        </w:sectPr>
      </w:pPr>
    </w:p>
    <w:bookmarkStart w:id="19" w:name="page20"/>
    <w:bookmarkEnd w:id="19"/>
    <w:p>
      <w:pPr>
        <w:jc w:val="center"/>
        <w:ind w:right="317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Statements of Retained Earnings, Comprehensive Income and Changes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Capital Accounts</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8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Common Shares</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Additional</w:t>
            </w:r>
          </w:p>
        </w:tc>
        <w:tc>
          <w:tcPr>
            <w:tcW w:w="2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Treasury Shares</w:t>
            </w:r>
          </w:p>
        </w:tc>
        <w:tc>
          <w:tcPr>
            <w:tcW w:w="900" w:type="dxa"/>
            <w:vAlign w:val="bottom"/>
          </w:tcPr>
          <w:p>
            <w:pPr>
              <w:spacing w:after="0"/>
              <w:rPr>
                <w:sz w:val="14"/>
                <w:szCs w:val="14"/>
                <w:color w:val="auto"/>
              </w:rPr>
            </w:pPr>
          </w:p>
        </w:tc>
        <w:tc>
          <w:tcPr>
            <w:tcW w:w="19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Cumulative  Compre-</w:t>
            </w:r>
          </w:p>
        </w:tc>
      </w:tr>
      <w:tr>
        <w:trPr>
          <w:trHeight w:val="172"/>
        </w:trPr>
        <w:tc>
          <w:tcPr>
            <w:tcW w:w="222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Paid-in</w:t>
            </w:r>
          </w:p>
        </w:tc>
        <w:tc>
          <w:tcPr>
            <w:tcW w:w="20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Retained</w:t>
            </w:r>
          </w:p>
        </w:tc>
        <w:tc>
          <w:tcPr>
            <w:tcW w:w="19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Translation hensive</w:t>
            </w:r>
          </w:p>
        </w:tc>
      </w:tr>
      <w:tr>
        <w:trPr>
          <w:trHeight w:val="172"/>
        </w:trPr>
        <w:tc>
          <w:tcPr>
            <w:tcW w:w="2220" w:type="dxa"/>
            <w:vAlign w:val="bottom"/>
          </w:tcPr>
          <w:p>
            <w:pPr>
              <w:spacing w:after="0"/>
              <w:rPr>
                <w:sz w:val="14"/>
                <w:szCs w:val="14"/>
                <w:color w:val="auto"/>
              </w:rPr>
            </w:pP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Shares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Amount</w:t>
            </w:r>
          </w:p>
        </w:tc>
        <w:tc>
          <w:tcPr>
            <w:tcW w:w="9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Capital</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Amount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Earnings</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Adjustment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Income</w:t>
            </w:r>
          </w:p>
        </w:tc>
      </w:tr>
      <w:tr>
        <w:trPr>
          <w:trHeight w:val="172"/>
        </w:trPr>
        <w:tc>
          <w:tcPr>
            <w:tcW w:w="2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40" w:type="dxa"/>
            <w:vAlign w:val="bottom"/>
            <w:gridSpan w:val="8"/>
          </w:tcPr>
          <w:p>
            <w:pPr>
              <w:jc w:val="right"/>
              <w:ind w:right="5"/>
              <w:spacing w:after="0"/>
              <w:rPr>
                <w:sz w:val="20"/>
                <w:szCs w:val="20"/>
                <w:color w:val="auto"/>
              </w:rPr>
            </w:pPr>
            <w:r>
              <w:rPr>
                <w:rFonts w:ascii="Courier New" w:cs="Courier New" w:eastAsia="Courier New" w:hAnsi="Courier New"/>
                <w:sz w:val="15"/>
                <w:szCs w:val="15"/>
                <w:color w:val="auto"/>
                <w:w w:val="99"/>
              </w:rPr>
              <w:t>------ ---------- -----------  --------  --------  ----------- --------</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Balance, January 1,</w:t>
            </w: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590,805,390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$732.9</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660.9</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142,047,790</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$1,680.3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$3,138.0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$(693.7)</w:t>
            </w: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848.6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848.6</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comprehensive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income: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Cumulative translation</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adjustment............</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(106.1)</w:t>
            </w:r>
          </w:p>
        </w:tc>
      </w:tr>
      <w:tr>
        <w:trPr>
          <w:trHeight w:val="172"/>
        </w:trPr>
        <w:tc>
          <w:tcPr>
            <w:tcW w:w="2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Total comprehensive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income.................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742.5</w:t>
            </w:r>
          </w:p>
        </w:tc>
      </w:tr>
      <w:tr>
        <w:trPr>
          <w:trHeight w:val="172"/>
        </w:trPr>
        <w:tc>
          <w:tcPr>
            <w:tcW w:w="2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Series B Convertible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Preference Stock, net</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of income taxes.......</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(324.7)</w:t>
            </w: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Shares issued for stock</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6,714,850</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(6,714,850)</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145.1</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Treasury stock acquired.</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(14,298,912)</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14,298,912</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542.5</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2,198,152</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34.7</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(2,198,152)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(34.1)</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Balance, December 31,</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585,419,480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$732.9</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824.6</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147,433,700</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$2,333.8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$3,641.0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$(799.8)</w:t>
            </w: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937.3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937.3</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comprehensive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income: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Cumulative translation</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adjustment............</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(336.4)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(336.4)</w:t>
            </w:r>
          </w:p>
        </w:tc>
      </w:tr>
      <w:tr>
        <w:trPr>
          <w:trHeight w:val="172"/>
        </w:trPr>
        <w:tc>
          <w:tcPr>
            <w:tcW w:w="2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Total comprehensive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income.................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600.9</w:t>
            </w:r>
          </w:p>
        </w:tc>
      </w:tr>
      <w:tr>
        <w:trPr>
          <w:trHeight w:val="172"/>
        </w:trPr>
        <w:tc>
          <w:tcPr>
            <w:tcW w:w="2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Series B Convertible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Preference Stock, net</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of income taxes.......</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(345.0)</w:t>
            </w: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Shares issued for stock</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6,894,907</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128.0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(6,894,907)</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132.5</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Treasury stock acquired.</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(12,849,744)</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12,849,744</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624.4</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(601,597)</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110.6</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611,087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(34.3)</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Balance, December 31,</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578,863,046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$732.9</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$1,063.2</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153,999,624</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$3,056.4</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$4,212.3</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$(1,136.2)</w:t>
            </w: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1,063.8</w:t>
            </w:r>
          </w:p>
        </w:tc>
        <w:tc>
          <w:tcPr>
            <w:tcW w:w="1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$1,063.8</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comprehensive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income: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Cumulative translation</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adjustment............</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(133.5)</w:t>
            </w:r>
          </w:p>
        </w:tc>
      </w:tr>
      <w:tr>
        <w:trPr>
          <w:trHeight w:val="172"/>
        </w:trPr>
        <w:tc>
          <w:tcPr>
            <w:tcW w:w="2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Total comprehensive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income.................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930.3</w:t>
            </w:r>
          </w:p>
        </w:tc>
      </w:tr>
      <w:tr>
        <w:trPr>
          <w:trHeight w:val="172"/>
        </w:trPr>
        <w:tc>
          <w:tcPr>
            <w:tcW w:w="2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Series B Convertible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Preference Stock, net</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of income taxes.......</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(361.7)</w:t>
            </w: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Shares issued for stock</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4,796,186</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96.7</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(4,796,186)</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54.3</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Treasury stock acquired.</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(19,099,681)</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19,099,681</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1,040.6</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2,096,323</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(2,084,163)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(107.9)</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Balance, December 31,</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566,655,874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$732.9</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$1,144.9</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166,218,956</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$4,043.4</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$4,893.7</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$(1,269.7)</w:t>
            </w: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3" w:right="1440" w:bottom="162" w:gutter="0" w:footer="0" w:header="0"/>
        </w:sectPr>
      </w:pPr>
    </w:p>
    <w:bookmarkStart w:id="20" w:name="page21"/>
    <w:bookmarkEnd w:id="20"/>
    <w:p>
      <w:pPr>
        <w:jc w:val="center"/>
        <w:ind w:right="317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380" w:type="dxa"/>
            <w:vAlign w:val="bottom"/>
          </w:tcPr>
          <w:p>
            <w:pPr>
              <w:spacing w:after="0"/>
              <w:rPr>
                <w:sz w:val="14"/>
                <w:szCs w:val="14"/>
                <w:color w:val="auto"/>
              </w:rPr>
            </w:pP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$ 1,063.8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937.3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848.6</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380" w:type="dxa"/>
            <w:vAlign w:val="bottom"/>
          </w:tcPr>
          <w:p>
            <w:pPr>
              <w:jc w:val="right"/>
              <w:ind w:right="1545"/>
              <w:spacing w:after="0"/>
              <w:rPr>
                <w:sz w:val="20"/>
                <w:szCs w:val="20"/>
                <w:color w:val="auto"/>
              </w:rPr>
            </w:pPr>
            <w:r>
              <w:rPr>
                <w:rFonts w:ascii="Courier New" w:cs="Courier New" w:eastAsia="Courier New" w:hAnsi="Courier New"/>
                <w:sz w:val="15"/>
                <w:szCs w:val="15"/>
                <w:color w:val="auto"/>
              </w:rPr>
              <w:t>cash provided by operations: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Restructured operations.....................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(35.6)</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(34.8)</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337.8</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340.2</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330.3</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taxes and other, net.................</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69.7</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122.3</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60.7</w:t>
            </w:r>
          </w:p>
        </w:tc>
      </w:tr>
      <w:tr>
        <w:trPr>
          <w:trHeight w:val="172"/>
        </w:trPr>
        <w:tc>
          <w:tcPr>
            <w:tcW w:w="4380" w:type="dxa"/>
            <w:vAlign w:val="bottom"/>
          </w:tcPr>
          <w:p>
            <w:pPr>
              <w:jc w:val="right"/>
              <w:ind w:right="1545"/>
              <w:spacing w:after="0"/>
              <w:rPr>
                <w:sz w:val="20"/>
                <w:szCs w:val="20"/>
                <w:color w:val="auto"/>
              </w:rPr>
            </w:pPr>
            <w:r>
              <w:rPr>
                <w:rFonts w:ascii="Courier New" w:cs="Courier New" w:eastAsia="Courier New" w:hAnsi="Courier New"/>
                <w:sz w:val="15"/>
                <w:szCs w:val="15"/>
                <w:color w:val="auto"/>
              </w:rPr>
              <w:t>Cash effects of changes in: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Receivables...............................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(91.9)</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(81.3)</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(15.2)</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59.0</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(82.8)</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Payables and accruals.....................</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112.7</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92.6</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w:t>
            </w:r>
          </w:p>
        </w:tc>
      </w:tr>
      <w:tr>
        <w:trPr>
          <w:trHeight w:val="172"/>
        </w:trPr>
        <w:tc>
          <w:tcPr>
            <w:tcW w:w="4380" w:type="dxa"/>
            <w:vAlign w:val="bottom"/>
          </w:tcPr>
          <w:p>
            <w:pPr>
              <w:spacing w:after="0"/>
              <w:rPr>
                <w:sz w:val="14"/>
                <w:szCs w:val="14"/>
                <w:color w:val="auto"/>
              </w:rPr>
            </w:pP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cash provided by operations...........</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1,536.2</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1,292.7</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1,178.8</w:t>
            </w:r>
          </w:p>
        </w:tc>
      </w:tr>
      <w:tr>
        <w:trPr>
          <w:trHeight w:val="172"/>
        </w:trPr>
        <w:tc>
          <w:tcPr>
            <w:tcW w:w="4380" w:type="dxa"/>
            <w:vAlign w:val="bottom"/>
          </w:tcPr>
          <w:p>
            <w:pPr>
              <w:spacing w:after="0"/>
              <w:rPr>
                <w:sz w:val="14"/>
                <w:szCs w:val="14"/>
                <w:color w:val="auto"/>
              </w:rPr>
            </w:pP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(366.6)</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(372.8)</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(389.6)</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Payment for acquisitions, net of cash</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acquired.....................................</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(64.9)</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 of non-core product lines................</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89.9</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57.4</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 of marketable securities and investments.</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137.4</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22.7</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r>
      <w:tr>
        <w:trPr>
          <w:trHeight w:val="172"/>
        </w:trPr>
        <w:tc>
          <w:tcPr>
            <w:tcW w:w="4380" w:type="dxa"/>
            <w:vAlign w:val="bottom"/>
          </w:tcPr>
          <w:p>
            <w:pPr>
              <w:spacing w:after="0"/>
              <w:rPr>
                <w:sz w:val="14"/>
                <w:szCs w:val="14"/>
                <w:color w:val="auto"/>
              </w:rPr>
            </w:pP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cash used for investing activities......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(208.6)</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(331.5)</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(351.9)</w:t>
            </w:r>
          </w:p>
        </w:tc>
      </w:tr>
      <w:tr>
        <w:trPr>
          <w:trHeight w:val="172"/>
        </w:trPr>
        <w:tc>
          <w:tcPr>
            <w:tcW w:w="4380" w:type="dxa"/>
            <w:vAlign w:val="bottom"/>
          </w:tcPr>
          <w:p>
            <w:pPr>
              <w:spacing w:after="0"/>
              <w:rPr>
                <w:sz w:val="14"/>
                <w:szCs w:val="14"/>
                <w:color w:val="auto"/>
              </w:rPr>
            </w:pP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Principal payments on debt....................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(739.4)</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(491.0)</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(677.5)</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Proceeds from issuance of debt................</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925.4</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555.5</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762.9</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Payments to outside investors.................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(113.9)</w:t>
            </w:r>
          </w:p>
        </w:tc>
        <w:tc>
          <w:tcPr>
            <w:tcW w:w="1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Dividends paid................................</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(382.4)</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(366.0)</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(345.6)</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Purchase of common stock......................</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(1,040.6)</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(624.4)</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(542.5)</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34.9</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(27.3)</w:t>
            </w:r>
          </w:p>
        </w:tc>
      </w:tr>
      <w:tr>
        <w:trPr>
          <w:trHeight w:val="172"/>
        </w:trPr>
        <w:tc>
          <w:tcPr>
            <w:tcW w:w="4380" w:type="dxa"/>
            <w:vAlign w:val="bottom"/>
          </w:tcPr>
          <w:p>
            <w:pPr>
              <w:spacing w:after="0"/>
              <w:rPr>
                <w:sz w:val="14"/>
                <w:szCs w:val="14"/>
                <w:color w:val="auto"/>
              </w:rPr>
            </w:pP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cash used for financing activities......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(1,316.0)</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(940.1)</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(830.0)</w:t>
            </w:r>
          </w:p>
        </w:tc>
      </w:tr>
      <w:tr>
        <w:trPr>
          <w:trHeight w:val="172"/>
        </w:trPr>
        <w:tc>
          <w:tcPr>
            <w:tcW w:w="4380" w:type="dxa"/>
            <w:vAlign w:val="bottom"/>
          </w:tcPr>
          <w:p>
            <w:pPr>
              <w:spacing w:after="0"/>
              <w:rPr>
                <w:sz w:val="14"/>
                <w:szCs w:val="14"/>
                <w:color w:val="auto"/>
              </w:rPr>
            </w:pP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Effect of exchange rate changes on cash and cash</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w:t>
            </w:r>
          </w:p>
        </w:tc>
      </w:tr>
      <w:tr>
        <w:trPr>
          <w:trHeight w:val="172"/>
        </w:trPr>
        <w:tc>
          <w:tcPr>
            <w:tcW w:w="4380" w:type="dxa"/>
            <w:vAlign w:val="bottom"/>
          </w:tcPr>
          <w:p>
            <w:pPr>
              <w:spacing w:after="0"/>
              <w:rPr>
                <w:sz w:val="14"/>
                <w:szCs w:val="14"/>
                <w:color w:val="auto"/>
              </w:rPr>
            </w:pP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increase (decrease) in cash and cash equiva-</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lents..........................................</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181.7</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183.1</w:t>
            </w:r>
          </w:p>
        </w:tc>
      </w:tr>
      <w:tr>
        <w:trPr>
          <w:trHeight w:val="172"/>
        </w:trPr>
        <w:tc>
          <w:tcPr>
            <w:tcW w:w="4380" w:type="dxa"/>
            <w:vAlign w:val="bottom"/>
          </w:tcPr>
          <w:p>
            <w:pPr>
              <w:spacing w:after="0"/>
              <w:rPr>
                <w:sz w:val="14"/>
                <w:szCs w:val="14"/>
                <w:color w:val="auto"/>
              </w:rPr>
            </w:pP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206.6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181.7</w:t>
            </w:r>
          </w:p>
        </w:tc>
      </w:tr>
      <w:tr>
        <w:trPr>
          <w:trHeight w:val="172"/>
        </w:trPr>
        <w:tc>
          <w:tcPr>
            <w:tcW w:w="4380" w:type="dxa"/>
            <w:vAlign w:val="bottom"/>
          </w:tcPr>
          <w:p>
            <w:pPr>
              <w:spacing w:after="0"/>
              <w:rPr>
                <w:sz w:val="14"/>
                <w:szCs w:val="14"/>
                <w:color w:val="auto"/>
              </w:rPr>
            </w:pP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306.3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273.8</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paid...................................</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203.0</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210.9</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202.8</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Principal payments on ESOP debt, guaranteed by</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the Company....................................</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3" w:right="1440" w:bottom="1440" w:gutter="0" w:footer="0" w:header="0"/>
        </w:sectPr>
      </w:pPr>
    </w:p>
    <w:bookmarkStart w:id="21" w:name="page22"/>
    <w:bookmarkEnd w:id="21"/>
    <w:p>
      <w:pPr>
        <w:ind w:left="2408"/>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Nature of Operations</w:t>
      </w:r>
    </w:p>
    <w:p>
      <w:pPr>
        <w:spacing w:after="0" w:line="176"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Company manufactures and markets a wide variety of products in the U.S. and around the world in two distinct business segments: Oral, Personal and Household Care, and Pet Nutrition. Oral, Personal and Household Care products include toothpaste, oral rinses and toothbrushes, bar and liquid soaps, shampoos, conditioners, deodorants and antiperspirants, shave products, laundry and dishwashing detergents, fabric softeners, cleansers and cleaners, bleaches and other similar items. These products are sold primarily to wholesale and retail distributors worldwide. Pet Nutrition products include pet food products manufactured and marketed by Hill's Pet Nutrition. The principal customers for Pet Nutrition products are veterinarians and specialty pet retailers. Principal global trademarks include Colgate, Palmolive, Mennen Speed Stick, Protex, Ajax, Soupline, Suavitel, Fab, Science Diet and Prescription Diet in addition to various regional trademarks.</w:t>
      </w:r>
    </w:p>
    <w:p>
      <w:pPr>
        <w:spacing w:after="0" w:line="181" w:lineRule="exact"/>
        <w:rPr>
          <w:sz w:val="20"/>
          <w:szCs w:val="20"/>
          <w:color w:val="auto"/>
        </w:rPr>
      </w:pPr>
    </w:p>
    <w:p>
      <w:pPr>
        <w:ind w:left="8" w:right="3699" w:firstLine="179"/>
        <w:spacing w:after="0"/>
        <w:rPr>
          <w:sz w:val="20"/>
          <w:szCs w:val="20"/>
          <w:color w:val="auto"/>
        </w:rPr>
      </w:pPr>
      <w:r>
        <w:rPr>
          <w:rFonts w:ascii="Courier New" w:cs="Courier New" w:eastAsia="Courier New" w:hAnsi="Courier New"/>
          <w:sz w:val="15"/>
          <w:szCs w:val="15"/>
          <w:color w:val="auto"/>
        </w:rPr>
        <w:t>The Company's principal classes of products accounted for the following percentages of worldwide sales for the past three years:</w:t>
      </w:r>
    </w:p>
    <w:p>
      <w:pPr>
        <w:spacing w:after="0" w:line="200" w:lineRule="exact"/>
        <w:rPr>
          <w:sz w:val="20"/>
          <w:szCs w:val="20"/>
          <w:color w:val="auto"/>
        </w:rPr>
      </w:pPr>
    </w:p>
    <w:p>
      <w:pPr>
        <w:spacing w:after="0" w:line="318" w:lineRule="exact"/>
        <w:rPr>
          <w:sz w:val="20"/>
          <w:szCs w:val="20"/>
          <w:color w:val="auto"/>
        </w:rPr>
      </w:pPr>
    </w:p>
    <w:tbl>
      <w:tblPr>
        <w:tblLayout w:type="fixed"/>
        <w:tblInd w:w="708"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w w:val="99"/>
              </w:rPr>
              <w:t>2000</w:t>
            </w:r>
          </w:p>
        </w:tc>
        <w:tc>
          <w:tcPr>
            <w:tcW w:w="54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4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1998</w:t>
            </w:r>
          </w:p>
        </w:tc>
      </w:tr>
      <w:tr>
        <w:trPr>
          <w:trHeight w:val="172"/>
        </w:trPr>
        <w:tc>
          <w:tcPr>
            <w:tcW w:w="51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4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5160" w:type="dxa"/>
            <w:vAlign w:val="bottom"/>
          </w:tcPr>
          <w:p>
            <w:pPr>
              <w:spacing w:after="0"/>
              <w:rPr>
                <w:sz w:val="20"/>
                <w:szCs w:val="20"/>
                <w:color w:val="auto"/>
              </w:rPr>
            </w:pPr>
            <w:r>
              <w:rPr>
                <w:rFonts w:ascii="Courier New" w:cs="Courier New" w:eastAsia="Courier New" w:hAnsi="Courier New"/>
                <w:sz w:val="15"/>
                <w:szCs w:val="15"/>
                <w:color w:val="auto"/>
              </w:rPr>
              <w:t>Oral Care................................................</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2"/>
        </w:trPr>
        <w:tc>
          <w:tcPr>
            <w:tcW w:w="5160" w:type="dxa"/>
            <w:vAlign w:val="bottom"/>
          </w:tcPr>
          <w:p>
            <w:pPr>
              <w:spacing w:after="0"/>
              <w:rPr>
                <w:sz w:val="20"/>
                <w:szCs w:val="20"/>
                <w:color w:val="auto"/>
              </w:rPr>
            </w:pPr>
            <w:r>
              <w:rPr>
                <w:rFonts w:ascii="Courier New" w:cs="Courier New" w:eastAsia="Courier New" w:hAnsi="Courier New"/>
                <w:sz w:val="15"/>
                <w:szCs w:val="15"/>
                <w:color w:val="auto"/>
              </w:rPr>
              <w:t>Personal Care............................................</w:t>
            </w: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c>
          <w:tcPr>
            <w:tcW w:w="54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24</w:t>
            </w:r>
          </w:p>
        </w:tc>
      </w:tr>
      <w:tr>
        <w:trPr>
          <w:trHeight w:val="172"/>
        </w:trPr>
        <w:tc>
          <w:tcPr>
            <w:tcW w:w="5160" w:type="dxa"/>
            <w:vAlign w:val="bottom"/>
          </w:tcPr>
          <w:p>
            <w:pPr>
              <w:spacing w:after="0"/>
              <w:rPr>
                <w:sz w:val="20"/>
                <w:szCs w:val="20"/>
                <w:color w:val="auto"/>
              </w:rPr>
            </w:pPr>
            <w:r>
              <w:rPr>
                <w:rFonts w:ascii="Courier New" w:cs="Courier New" w:eastAsia="Courier New" w:hAnsi="Courier New"/>
                <w:sz w:val="15"/>
                <w:szCs w:val="15"/>
                <w:color w:val="auto"/>
              </w:rPr>
              <w:t>Household Surface Care...................................</w:t>
            </w: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c>
          <w:tcPr>
            <w:tcW w:w="54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16</w:t>
            </w:r>
          </w:p>
        </w:tc>
      </w:tr>
      <w:tr>
        <w:trPr>
          <w:trHeight w:val="172"/>
        </w:trPr>
        <w:tc>
          <w:tcPr>
            <w:tcW w:w="5160" w:type="dxa"/>
            <w:vAlign w:val="bottom"/>
          </w:tcPr>
          <w:p>
            <w:pPr>
              <w:spacing w:after="0"/>
              <w:rPr>
                <w:sz w:val="20"/>
                <w:szCs w:val="20"/>
                <w:color w:val="auto"/>
              </w:rPr>
            </w:pPr>
            <w:r>
              <w:rPr>
                <w:rFonts w:ascii="Courier New" w:cs="Courier New" w:eastAsia="Courier New" w:hAnsi="Courier New"/>
                <w:sz w:val="15"/>
                <w:szCs w:val="15"/>
                <w:color w:val="auto"/>
              </w:rPr>
              <w:t>Fabric Care..............................................</w:t>
            </w: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w w:val="99"/>
              </w:rPr>
              <w:t>14</w:t>
            </w:r>
          </w:p>
        </w:tc>
        <w:tc>
          <w:tcPr>
            <w:tcW w:w="540" w:type="dxa"/>
            <w:vAlign w:val="bottom"/>
          </w:tcPr>
          <w:p>
            <w:pPr>
              <w:jc w:val="center"/>
              <w:spacing w:after="0"/>
              <w:rPr>
                <w:sz w:val="20"/>
                <w:szCs w:val="20"/>
                <w:color w:val="auto"/>
              </w:rPr>
            </w:pPr>
            <w:r>
              <w:rPr>
                <w:rFonts w:ascii="Courier New" w:cs="Courier New" w:eastAsia="Courier New" w:hAnsi="Courier New"/>
                <w:sz w:val="15"/>
                <w:szCs w:val="15"/>
                <w:color w:val="auto"/>
                <w:w w:val="99"/>
              </w:rPr>
              <w:t>14</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15</w:t>
            </w:r>
          </w:p>
        </w:tc>
      </w:tr>
      <w:tr>
        <w:trPr>
          <w:trHeight w:val="172"/>
        </w:trPr>
        <w:tc>
          <w:tcPr>
            <w:tcW w:w="5160" w:type="dxa"/>
            <w:vAlign w:val="bottom"/>
          </w:tcPr>
          <w:p>
            <w:pPr>
              <w:spacing w:after="0"/>
              <w:rPr>
                <w:sz w:val="20"/>
                <w:szCs w:val="20"/>
                <w:color w:val="auto"/>
              </w:rPr>
            </w:pPr>
            <w:r>
              <w:rPr>
                <w:rFonts w:ascii="Courier New" w:cs="Courier New" w:eastAsia="Courier New" w:hAnsi="Courier New"/>
                <w:sz w:val="15"/>
                <w:szCs w:val="15"/>
                <w:color w:val="auto"/>
              </w:rPr>
              <w:t>Pet Nutrition............................................</w:t>
            </w: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w w:val="99"/>
              </w:rPr>
              <w:t>12</w:t>
            </w:r>
          </w:p>
        </w:tc>
        <w:tc>
          <w:tcPr>
            <w:tcW w:w="540" w:type="dxa"/>
            <w:vAlign w:val="bottom"/>
          </w:tcPr>
          <w:p>
            <w:pPr>
              <w:jc w:val="center"/>
              <w:spacing w:after="0"/>
              <w:rPr>
                <w:sz w:val="20"/>
                <w:szCs w:val="20"/>
                <w:color w:val="auto"/>
              </w:rPr>
            </w:pPr>
            <w:r>
              <w:rPr>
                <w:rFonts w:ascii="Courier New" w:cs="Courier New" w:eastAsia="Courier New" w:hAnsi="Courier New"/>
                <w:sz w:val="15"/>
                <w:szCs w:val="15"/>
                <w:color w:val="auto"/>
                <w:w w:val="99"/>
              </w:rPr>
              <w:t>12</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11</w:t>
            </w:r>
          </w:p>
        </w:tc>
      </w:tr>
    </w:tbl>
    <w:p>
      <w:pPr>
        <w:spacing w:after="0" w:line="348" w:lineRule="exact"/>
        <w:rPr>
          <w:sz w:val="20"/>
          <w:szCs w:val="20"/>
          <w:color w:val="auto"/>
        </w:rPr>
      </w:pPr>
    </w:p>
    <w:p>
      <w:pPr>
        <w:ind w:left="8" w:right="6199" w:hanging="8"/>
        <w:spacing w:after="0" w:line="483" w:lineRule="auto"/>
        <w:tabs>
          <w:tab w:leader="none" w:pos="27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4"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Consolidated Financial Statements include the accounts of Colgate-Palmolive Company and its majority-owned subsidiaries. Intercompany transactions and balances have been eliminated. Investments in companies in which the Company's interest is between 20% and 50% are accounted for using the equity method. The Company's share of the net income from such investments is recorded as equity earnings and is classified as Other expense, net, in the Consolidated Statements of Income.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left="8" w:right="3339" w:firstLine="179"/>
        <w:spacing w:after="0" w:line="241" w:lineRule="auto"/>
        <w:rPr>
          <w:sz w:val="20"/>
          <w:szCs w:val="20"/>
          <w:color w:val="auto"/>
        </w:rPr>
      </w:pPr>
      <w:r>
        <w:rPr>
          <w:rFonts w:ascii="Courier New" w:cs="Courier New" w:eastAsia="Courier New" w:hAnsi="Courier New"/>
          <w:sz w:val="15"/>
          <w:szCs w:val="15"/>
          <w:color w:val="auto"/>
        </w:rPr>
        <w:t>Sales are recorded at the time products are shipped to trade customers. Net sales reflect units shipped at selling list prices reduced by promotion allowances.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left="8" w:right="3599" w:firstLine="179"/>
        <w:spacing w:after="0" w:line="263"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gains and losses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Accounting Changes</w:t>
      </w:r>
    </w:p>
    <w:p>
      <w:pPr>
        <w:spacing w:after="0" w:line="176" w:lineRule="exact"/>
        <w:rPr>
          <w:sz w:val="20"/>
          <w:szCs w:val="20"/>
          <w:color w:val="auto"/>
        </w:rPr>
      </w:pPr>
    </w:p>
    <w:p>
      <w:pPr>
        <w:ind w:left="8" w:right="3599" w:firstLine="179"/>
        <w:spacing w:after="0" w:line="241" w:lineRule="auto"/>
        <w:rPr>
          <w:sz w:val="20"/>
          <w:szCs w:val="20"/>
          <w:color w:val="auto"/>
        </w:rPr>
      </w:pPr>
      <w:r>
        <w:rPr>
          <w:rFonts w:ascii="Courier New" w:cs="Courier New" w:eastAsia="Courier New" w:hAnsi="Courier New"/>
          <w:sz w:val="15"/>
          <w:szCs w:val="15"/>
          <w:color w:val="auto"/>
        </w:rPr>
        <w:t>In June 1998, the Financial Accounting Standards Board (FASB) issued Statement of Financial Accounting Standard (SFAS) No. 133, "Accounting for Derivative Instruments and Hedging Activities." SFAS 133, as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7"/>
          </w:cols>
          <w:pgMar w:left="232" w:top="633" w:right="1440" w:bottom="1440" w:gutter="0" w:footer="0" w:header="0"/>
        </w:sectPr>
      </w:pPr>
    </w:p>
    <w:bookmarkStart w:id="22" w:name="page23"/>
    <w:bookmarkEnd w:id="22"/>
    <w:p>
      <w:pPr>
        <w:jc w:val="center"/>
        <w:ind w:right="317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amended, establishes accounting and reporting standards requiring that every derivative instrument be recorded in the balance sheet as either an asset or liability measured at its fair value. The statement requires that changes in the derivative's fair value be recognized currently in earnings or other comprehensive income depending on whether a derivative is designated as part of a hedge transaction. The adoption of SFAS 133 on January 1, 2001 did not result in a material impact on the Company's financial position, results of operations or cash flows.</w:t>
      </w:r>
    </w:p>
    <w:p>
      <w:pPr>
        <w:spacing w:after="0" w:line="177"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In July 2000, the FASB's Emerging Issues Task Force (EITF) reached a consensus on Issue No. 00-14, "Accounting for Certain Sales Incentives." This issue addresses the recognition, measurement and income statement classification for various types of sales incentives including discounts, coupons, rebates and free products. The Company will adopt this consensus effective April 1, 2001. The effect of adoption will result in the reclassification of approximately $150.6, $129.1 and $117.5 for the years ending December 31, 2000, 1999 and 1998, respectively, from selling, general and administrative expenses to a reduction of net sales.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considers all highly liquid investments with maturities of three months or less when purchased to be cash equivalents. Investments in short-term securities that do not meet the definition of cash equivalents are classified as marketable securities. Marketable securities are reported at cost, which approximates market.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6" w:lineRule="exact"/>
        <w:rPr>
          <w:sz w:val="20"/>
          <w:szCs w:val="20"/>
          <w:color w:val="auto"/>
        </w:rPr>
      </w:pPr>
    </w:p>
    <w:p>
      <w:pPr>
        <w:ind w:right="3259" w:firstLine="179"/>
        <w:spacing w:after="0" w:line="241" w:lineRule="auto"/>
        <w:rPr>
          <w:sz w:val="20"/>
          <w:szCs w:val="20"/>
          <w:color w:val="auto"/>
        </w:rPr>
      </w:pPr>
      <w:r>
        <w:rPr>
          <w:rFonts w:ascii="Courier New" w:cs="Courier New" w:eastAsia="Courier New" w:hAnsi="Courier New"/>
          <w:sz w:val="15"/>
          <w:szCs w:val="15"/>
          <w:color w:val="auto"/>
        </w:rPr>
        <w:t>Inventories are valued at the lower of cost or market. The first-in, first-out (FIFO) method is used to value most inventories. The remaining inventories are valued using the last-in, first-out (LIFO) method.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176" w:lineRule="exact"/>
        <w:rPr>
          <w:sz w:val="20"/>
          <w:szCs w:val="20"/>
          <w:color w:val="auto"/>
        </w:rPr>
      </w:pPr>
    </w:p>
    <w:p>
      <w:pPr>
        <w:ind w:right="3779" w:firstLine="179"/>
        <w:spacing w:after="0" w:line="241" w:lineRule="auto"/>
        <w:rPr>
          <w:sz w:val="20"/>
          <w:szCs w:val="20"/>
          <w:color w:val="auto"/>
        </w:rPr>
      </w:pPr>
      <w:r>
        <w:rPr>
          <w:rFonts w:ascii="Courier New" w:cs="Courier New" w:eastAsia="Courier New" w:hAnsi="Courier New"/>
          <w:sz w:val="15"/>
          <w:szCs w:val="15"/>
          <w:color w:val="auto"/>
        </w:rPr>
        <w:t>Land, buildings, and machinery and equipment are stated at cost. Depreciation is provided, primarily using the straight-line method, over estimated useful lives ranging from 3 to 40 years.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and Other Intangibles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Intangible assets principally consist of goodwill, which is amortized on the straight-line method, generally over a period of 40 years. Other intangible assets, principally non-compete agreements and customer lists, are amortized on the straight-line method over periods ranging from 5 to 20 years depending on their useful lives.</w:t>
      </w:r>
    </w:p>
    <w:p>
      <w:pPr>
        <w:spacing w:after="0" w:line="175"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recoverability of the carrying values of intangible assets is evaluated periodically based on a review of forecasted operating cash flows and the profitability of the related business. For the three-year period ended December 31, 2000, there were no material adjustments to the carrying values of intangible assets resulting from these evaluations.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Shipping and Handling Costs</w:t>
      </w:r>
    </w:p>
    <w:p>
      <w:pPr>
        <w:spacing w:after="0" w:line="176" w:lineRule="exact"/>
        <w:rPr>
          <w:sz w:val="20"/>
          <w:szCs w:val="20"/>
          <w:color w:val="auto"/>
        </w:rPr>
      </w:pPr>
    </w:p>
    <w:p>
      <w:pPr>
        <w:ind w:right="3259" w:firstLine="179"/>
        <w:spacing w:after="0" w:line="241" w:lineRule="auto"/>
        <w:rPr>
          <w:sz w:val="20"/>
          <w:szCs w:val="20"/>
          <w:color w:val="auto"/>
        </w:rPr>
      </w:pPr>
      <w:r>
        <w:rPr>
          <w:rFonts w:ascii="Courier New" w:cs="Courier New" w:eastAsia="Courier New" w:hAnsi="Courier New"/>
          <w:sz w:val="15"/>
          <w:szCs w:val="15"/>
          <w:color w:val="auto"/>
        </w:rPr>
        <w:t>Shipping and handling costs are classified as selling, general and administrative expenses and were $619.9, $590.0 and $575.9 for the years ended December 31, 2000, 1999 and 1998,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Advertising costs are expensed in the year incurred.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3" w:right="1440" w:bottom="1440" w:gutter="0" w:footer="0" w:header="0"/>
        </w:sectPr>
      </w:pPr>
    </w:p>
    <w:bookmarkStart w:id="23" w:name="page24"/>
    <w:bookmarkEnd w:id="23"/>
    <w:p>
      <w:pPr>
        <w:jc w:val="center"/>
        <w:ind w:right="317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Deferred taxes are recognized for the expected future tax consequences of temporary differences between the amounts carried for financial reporting and tax purposes. Provision is made currently for taxes payable on remittances of overseas earnings; no provision is made for taxes on overseas retained earnings that are deemed to be permanently reinvested.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 of Overseas Currencies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assets and liabilities of subsidiaries, other than those operating in highly inflationary environments, are translated into U.S. dollars at year-end exchange rates, with resulting translation gains and losses accumulated in a separate component of shareholders' equity. Income and expense items are converted into U.S. dollars at average rates of exchange prevailing during the year.</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For subsidiaries operating in highly inflationary environments, inventories, goodwill and property, plant and equipment are translated at the rate of exchange on the date the assets were acquired, while other assets and liabilities are translated at year-end exchange rates. Translation adjustments for these operations are included in net income.</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1999, due to the devaluation of the Brazilian real, $242.4 was charged to cumulative translation adjustments which was, in effect, a write-down of foreign-currency-denominated assets (primarily goodwill and property, plant and equipment). This will be accompanied by lower amortization and depreciation expense in future periods.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Instruments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net effective cash payment of the interest rate swap contracts combined with the related interest payments on the debt that they hedge are accounted for as interest expense. Those interest rate instruments that do not qualify as hedge instruments for accounting purposes are marked to market and recorded at fair value.</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Gains and losses from foreign exchange contracts that hedge the Company's investments in its foreign subsidiaries are shown in the cumulative translation adjustments account included in shareholders' equity. Gains and losses from contracts that hedge firm commitments are recorded in the balance sheets as a component of the related receivable or payable until realized, at which time they are recognized in the statements of income. The contracts that hedge anticipated sales and purchases do not qualify as hedges for accounting purposes. Accordingly, the related gains and losses are calculated using the current forward rates and are recorded in the Consolidated Statements of Income as Other expense, net.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operates in two product segments: Oral, Personal and Household Care, and Pet Nutrition. The operations of the Oral, Personal and Household Care segment are managed geographically in four reportable operating segments: North America, Latin America, Europe and Asia/Africa.</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Management measures segment profit as operating income, which is defined as income before interest expense and income taxes. The accounting policies of the operating segments are the same as those described in the summary of significant accounting policies. Corporate operations include research and development costs, unallocated overhead costs, and gains and losses on sales of non-strategic brands and assets. Corporate assets include primarily benefit plan assets.</w:t>
      </w:r>
    </w:p>
    <w:p>
      <w:pPr>
        <w:spacing w:after="0" w:line="34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3" w:right="1440" w:bottom="1440" w:gutter="0" w:footer="0" w:header="0"/>
        </w:sectPr>
      </w:pPr>
    </w:p>
    <w:bookmarkStart w:id="24" w:name="page25"/>
    <w:bookmarkEnd w:id="24"/>
    <w:p>
      <w:pPr>
        <w:jc w:val="center"/>
        <w:ind w:right="315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176" w:lineRule="exact"/>
        <w:rPr>
          <w:sz w:val="20"/>
          <w:szCs w:val="20"/>
          <w:color w:val="auto"/>
        </w:rPr>
      </w:pPr>
    </w:p>
    <w:p>
      <w:pPr>
        <w:jc w:val="both"/>
        <w:ind w:right="3339" w:firstLine="179"/>
        <w:spacing w:after="0" w:line="267" w:lineRule="auto"/>
        <w:rPr>
          <w:sz w:val="20"/>
          <w:szCs w:val="20"/>
          <w:color w:val="auto"/>
        </w:rPr>
      </w:pPr>
      <w:r>
        <w:rPr>
          <w:rFonts w:ascii="Courier New" w:cs="Courier New" w:eastAsia="Courier New" w:hAnsi="Courier New"/>
          <w:sz w:val="14"/>
          <w:szCs w:val="14"/>
          <w:color w:val="auto"/>
        </w:rPr>
        <w:t>The financial and descriptive information on the Company's geographic area and industry segment data, appearing in the tables contained in management's discussion of this report, is an integral part of these financial statements.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6" w:lineRule="exact"/>
        <w:rPr>
          <w:sz w:val="20"/>
          <w:szCs w:val="20"/>
          <w:color w:val="auto"/>
        </w:rPr>
      </w:pPr>
    </w:p>
    <w:p>
      <w:pPr>
        <w:ind w:right="3439" w:firstLine="179"/>
        <w:spacing w:after="0"/>
        <w:rPr>
          <w:sz w:val="20"/>
          <w:szCs w:val="20"/>
          <w:color w:val="auto"/>
        </w:rPr>
      </w:pPr>
      <w:r>
        <w:rPr>
          <w:rFonts w:ascii="Courier New" w:cs="Courier New" w:eastAsia="Courier New" w:hAnsi="Courier New"/>
          <w:sz w:val="15"/>
          <w:szCs w:val="15"/>
          <w:color w:val="auto"/>
        </w:rPr>
        <w:t>Certain prior year balances have been reclassified to conform with current year presentation.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Acquisitions and Divestitures</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During 2000, 1999 and 1998, the Company made several acquisitions totaling</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$64.9, $46.4 and $22.6, respectively. Individually, none of these acquisitions were significant.</w:t>
      </w:r>
    </w:p>
    <w:p>
      <w:pPr>
        <w:spacing w:after="0" w:line="176" w:lineRule="exact"/>
        <w:rPr>
          <w:sz w:val="20"/>
          <w:szCs w:val="20"/>
          <w:color w:val="auto"/>
        </w:rPr>
      </w:pPr>
    </w:p>
    <w:p>
      <w:pPr>
        <w:ind w:right="3519" w:firstLine="179"/>
        <w:spacing w:after="0" w:line="242" w:lineRule="auto"/>
        <w:rPr>
          <w:sz w:val="20"/>
          <w:szCs w:val="20"/>
          <w:color w:val="auto"/>
        </w:rPr>
      </w:pPr>
      <w:r>
        <w:rPr>
          <w:rFonts w:ascii="Courier New" w:cs="Courier New" w:eastAsia="Courier New" w:hAnsi="Courier New"/>
          <w:sz w:val="15"/>
          <w:szCs w:val="15"/>
          <w:color w:val="auto"/>
        </w:rPr>
        <w:t>The acquisitions were accounted for as purchases, and accordingly, the purchase prices were allocated to the net tangible and intangible assets acquired based on estimated fair values at the dates the acquisitions were consummated. The results of operations of the acquired businesses have been included in the Consolidated Financial Statements since the respective acquisition dates. The inclusion of pro forma financial data for all acquisitions would not have materially affected the financial information included herein.</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aggregate sale price of all 2000, 1999 and 1998 divestitures was $102.5, $94.7 and $57.4, respectively. These divestitures included the Mexico Viva detergent brand in 2000, the U.S. Baby Magic brand in 1999 and the HandiWipes brand in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Long-Term Debt and Credit Facilities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Long-term debt consists of the following at December 31:</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Weighted</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Average</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Interest</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Rate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Maturities</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348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5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Notes.................................</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7.3%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2001-2028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$1,458.4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$1,423.5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Commercial paper and other short-term</w:t>
            </w: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borrowings, reclassified.............</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6.3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436.1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477.3</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ESOP notes, guaranteed by the Company.</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8.7</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2001-2009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358.1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366.9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Payable to banks......................</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5.4</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2001-2007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603.5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313.7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Capitalized leases....................</w:t>
            </w: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2,857.1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2,582.2</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Less: current portion of long-term</w:t>
            </w: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debt.................................</w:t>
            </w: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338.9</w:t>
            </w:r>
          </w:p>
        </w:tc>
      </w:tr>
      <w:tr>
        <w:trPr>
          <w:trHeight w:val="172"/>
        </w:trPr>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$2,536.9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$2,243.3</w:t>
            </w:r>
          </w:p>
        </w:tc>
      </w:tr>
      <w:tr>
        <w:trPr>
          <w:trHeight w:val="172"/>
        </w:trPr>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48"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Commercial paper and certain other short-term borrowings are classified as long-term debt as it is the Company's intent and ability to refinance such obligations on a long-term basis. Scheduled maturities of debt outstanding at December 31, 2000, excluding short-term borrowings reclassified, are as follows: 2001--$320.2; 2002--$358.0; 2003--$623.4; 2004--$123.3; 2005--$77.2, and $918.9 thereafter. The Company has entered into interest rate swap agreements and foreign exchange contracts related to certain of these debt instruments (see Note 11).</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3" w:right="1440" w:bottom="1440" w:gutter="0" w:footer="0" w:header="0"/>
        </w:sectPr>
      </w:pPr>
    </w:p>
    <w:bookmarkStart w:id="25" w:name="page26"/>
    <w:bookmarkEnd w:id="25"/>
    <w:p>
      <w:pPr>
        <w:jc w:val="center"/>
        <w:ind w:right="3171"/>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176"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At December 31, 2000, the Company had unused credit facilities amounting to $1,398.1. Commitment fees related to credit facilities are not material. The weighted average interest rate on short-term borrowings, excluding amounts reclassified, as of December 31, 2000 and 1999, was 7.6% and 7.8%, respectively.</w:t>
      </w:r>
    </w:p>
    <w:p>
      <w:pPr>
        <w:spacing w:after="0" w:line="175" w:lineRule="exact"/>
        <w:rPr>
          <w:sz w:val="20"/>
          <w:szCs w:val="20"/>
          <w:color w:val="auto"/>
        </w:rPr>
      </w:pPr>
    </w:p>
    <w:p>
      <w:pPr>
        <w:ind w:left="8" w:right="3259" w:firstLine="179"/>
        <w:spacing w:after="0" w:line="241" w:lineRule="auto"/>
        <w:rPr>
          <w:sz w:val="20"/>
          <w:szCs w:val="20"/>
          <w:color w:val="auto"/>
        </w:rPr>
      </w:pPr>
      <w:r>
        <w:rPr>
          <w:rFonts w:ascii="Courier New" w:cs="Courier New" w:eastAsia="Courier New" w:hAnsi="Courier New"/>
          <w:sz w:val="15"/>
          <w:szCs w:val="15"/>
          <w:color w:val="auto"/>
        </w:rPr>
        <w:t>The Company's long-term debt agreements include various restrictive covenants and require the maintenance of certain defined financial ratios with which the Company is in compliance.</w:t>
      </w:r>
    </w:p>
    <w:p>
      <w:pPr>
        <w:spacing w:after="0" w:line="176" w:lineRule="exact"/>
        <w:rPr>
          <w:sz w:val="20"/>
          <w:szCs w:val="20"/>
          <w:color w:val="auto"/>
        </w:rPr>
      </w:pPr>
    </w:p>
    <w:p>
      <w:pPr>
        <w:ind w:left="8" w:right="6199" w:hanging="8"/>
        <w:spacing w:after="0" w:line="483" w:lineRule="auto"/>
        <w:tabs>
          <w:tab w:leader="none" w:pos="27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 and Stock Compensation Plans Preferred Stock</w:t>
      </w:r>
    </w:p>
    <w:p>
      <w:pPr>
        <w:spacing w:after="0" w:line="4"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Preferred Stock consists of 250,000 authorized shares without par value. It is issuable in series, of which one series of 125,000 shares, designated $4.25 Preferred Stock, with a stated and redeemable value of $100 per share, has been issued. The $4.25 Preferred Stock is redeemable only at the option of the Company. At December 31, 2000 and 1999, 103,350 and 115,510 shares of $4.25 Preferred Stock, respectively, were outstanding.</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Preference Stock</w:t>
      </w:r>
    </w:p>
    <w:p>
      <w:pPr>
        <w:spacing w:after="0" w:line="176" w:lineRule="exact"/>
        <w:rPr>
          <w:sz w:val="20"/>
          <w:szCs w:val="20"/>
          <w:color w:val="auto"/>
        </w:rPr>
      </w:pPr>
    </w:p>
    <w:p>
      <w:pPr>
        <w:ind w:left="8" w:right="3259" w:firstLine="179"/>
        <w:spacing w:after="0" w:line="263" w:lineRule="auto"/>
        <w:rPr>
          <w:sz w:val="20"/>
          <w:szCs w:val="20"/>
          <w:color w:val="auto"/>
        </w:rPr>
      </w:pPr>
      <w:r>
        <w:rPr>
          <w:rFonts w:ascii="Courier New" w:cs="Courier New" w:eastAsia="Courier New" w:hAnsi="Courier New"/>
          <w:sz w:val="14"/>
          <w:szCs w:val="14"/>
          <w:color w:val="auto"/>
        </w:rPr>
        <w:t>In 1988, the Company authorized the issuance of 50,000,000 shares of Preference Stock, without par value. The Series B Convertible Preference Stock, which is convertible into eight shares of common stock, ranks junior to all series of the Preferred Stock. At December 31, 2000 and 1999, 5,254,847 and 5,446,442 shares of Series B Convertible Preference Stock, respectively, were outstanding and issued to the Company's Employee Stock Ownership Plan.</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Shareholder Rights Plan</w:t>
      </w:r>
    </w:p>
    <w:p>
      <w:pPr>
        <w:spacing w:after="0" w:line="176"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Under the Company's Shareholder Rights Plan, each share of the Company's common stock carries with it one Preference Share Purchase Right ("Rights"). The Rights themselves will at no time have voting power or pay dividends. The Rights become exercisable only if a person or group acquires 15% or more of the Company's common stock or announces a tender offer, the consummation of which would result in ownership by a person or group of 15% or more of the common stock. When exercisable, each Right entitles a holder to buy one two-hundredth of a share of a new series of preference stock at an exercise price of $220.00, subject to adjustment.</w:t>
      </w:r>
    </w:p>
    <w:p>
      <w:pPr>
        <w:spacing w:after="0" w:line="178"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If the Company is acquired in a merger or other business combination, each Right will entitle a holder to buy, at the Right's then current exercise price, a number of the acquiring company's common shares having a market value of twice such price. In addition, if a person or group acquires 15% or more of the Company's common stock, each Right will entitle its holder (other than such person or members of such group) to purchase, at the Right's then current exercise price, a number of shares of the Company's common stock having a market value of twice the Right's exercise price.</w:t>
      </w:r>
    </w:p>
    <w:p>
      <w:pPr>
        <w:spacing w:after="0" w:line="177"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Further, at any time after a person or group acquires 15% or more (but less than 50%) of the Company's common stock, the Board of Directors may, at its option, exchange part or all of the Rights (other than Rights held by the acquiring person or group) for shares of the Company's common stock on a one-for-one basis.</w:t>
      </w:r>
    </w:p>
    <w:p>
      <w:pPr>
        <w:spacing w:after="0" w:line="175" w:lineRule="exact"/>
        <w:rPr>
          <w:sz w:val="20"/>
          <w:szCs w:val="20"/>
          <w:color w:val="auto"/>
        </w:rPr>
      </w:pPr>
    </w:p>
    <w:p>
      <w:pPr>
        <w:ind w:left="8" w:right="3259" w:firstLine="179"/>
        <w:spacing w:after="0" w:line="263" w:lineRule="auto"/>
        <w:rPr>
          <w:sz w:val="20"/>
          <w:szCs w:val="20"/>
          <w:color w:val="auto"/>
        </w:rPr>
      </w:pPr>
      <w:r>
        <w:rPr>
          <w:rFonts w:ascii="Courier New" w:cs="Courier New" w:eastAsia="Courier New" w:hAnsi="Courier New"/>
          <w:sz w:val="14"/>
          <w:szCs w:val="14"/>
          <w:color w:val="auto"/>
        </w:rPr>
        <w:t>The Company, at the option of its Board of Directors, may amend the Rights or redeem the Rights for $.01 at any time before the acquisition by a person or group of beneficial ownership of 15% or more of its common stock. The Board of Directors is also authorized to reduce the 15% threshold to not less than 10%. Unless redeemed earlier, the Rights will expire on October 31, 2008.</w:t>
      </w:r>
    </w:p>
    <w:p>
      <w:pPr>
        <w:spacing w:after="0" w:line="16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7"/>
          </w:cols>
          <w:pgMar w:left="232" w:top="633" w:right="1440" w:bottom="1440" w:gutter="0" w:footer="0" w:header="0"/>
        </w:sectPr>
      </w:pPr>
    </w:p>
    <w:bookmarkStart w:id="26" w:name="page27"/>
    <w:bookmarkEnd w:id="26"/>
    <w:p>
      <w:pPr>
        <w:jc w:val="center"/>
        <w:ind w:right="315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Repurchases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During 1998, the Company entered into a series of forward purchase agreements on its common stock. These agreements are settled on a net basis in shares of the Company's common stock. To the extent that the market price of the Company's common stock on a settlement date is higher/(lower) than the forward purchase price, the net differential is received/(paid) by the Company. As of December 31, 2000, agreements were in place covering approximately $509.8 of the Company's common stock (7.9 million shares) that had forward prices averaging $64.55 per share. During 2000 and 1999, settlements resulted in the Company delivering 217,574 shares and receiving 2,322,701 shares, respectively, which were recorded as treasury stock transactions.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Incentive Stock Plan</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has a plan that provides for grants of restricted stock awards for officers and other executives of the Company and its major subsidiaries. A committee of non-employee members of the Board of Directors administers the plan. During 2000 and 1999, 667,090 and 692,238 shares, respectively, were awarded to employees in accordance with the provisions of the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Company's Stock Option Plans ("Plans") provide for the issuance of non-qualified stock options to officers and key employees. Options are granted at prices not less than the fair market value on the date of grant and vest over three years. At 2000 year-end, 25,691,772 shares of common stock were available for future grants.</w:t>
      </w:r>
    </w:p>
    <w:p>
      <w:pPr>
        <w:spacing w:after="0" w:line="175"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Plans contain a feature that provides for the grant of new options when previously owned shares of Company stock are used to exercise existing options. The number of new options granted under this feature is equal to the number of shares of previously owned Company stock used to exercise the original options and to pay the related required U.S. income tax. The new options are granted at a price equal to the fair market value on the date of the new grant and have the same expiration date as the original options exercised.</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 plan activity is summarized below:</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2000</w:t>
            </w:r>
          </w:p>
        </w:tc>
        <w:tc>
          <w:tcPr>
            <w:tcW w:w="2520" w:type="dxa"/>
            <w:vAlign w:val="bottom"/>
            <w:gridSpan w:val="2"/>
          </w:tcPr>
          <w:p>
            <w:pPr>
              <w:jc w:val="right"/>
              <w:ind w:right="1045"/>
              <w:spacing w:after="0"/>
              <w:rPr>
                <w:sz w:val="20"/>
                <w:szCs w:val="20"/>
                <w:color w:val="auto"/>
              </w:rPr>
            </w:pPr>
            <w:r>
              <w:rPr>
                <w:rFonts w:ascii="Courier New" w:cs="Courier New" w:eastAsia="Courier New" w:hAnsi="Courier New"/>
                <w:sz w:val="15"/>
                <w:szCs w:val="15"/>
                <w:color w:val="auto"/>
              </w:rPr>
              <w:t>1999</w:t>
            </w:r>
          </w:p>
        </w:tc>
        <w:tc>
          <w:tcPr>
            <w:tcW w:w="246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3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172"/>
        </w:trPr>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Weighted</w:t>
            </w:r>
          </w:p>
        </w:tc>
        <w:tc>
          <w:tcPr>
            <w:tcW w:w="1160" w:type="dxa"/>
            <w:vAlign w:val="bottom"/>
          </w:tcPr>
          <w:p>
            <w:pPr>
              <w:spacing w:after="0"/>
              <w:rPr>
                <w:sz w:val="14"/>
                <w:szCs w:val="14"/>
                <w:color w:val="auto"/>
              </w:rPr>
            </w:pPr>
          </w:p>
        </w:tc>
        <w:tc>
          <w:tcPr>
            <w:tcW w:w="1360" w:type="dxa"/>
            <w:vAlign w:val="bottom"/>
          </w:tcPr>
          <w:p>
            <w:pPr>
              <w:ind w:left="320"/>
              <w:spacing w:after="0"/>
              <w:rPr>
                <w:sz w:val="20"/>
                <w:szCs w:val="20"/>
                <w:color w:val="auto"/>
              </w:rPr>
            </w:pPr>
            <w:r>
              <w:rPr>
                <w:rFonts w:ascii="Courier New" w:cs="Courier New" w:eastAsia="Courier New" w:hAnsi="Courier New"/>
                <w:sz w:val="15"/>
                <w:szCs w:val="15"/>
                <w:color w:val="auto"/>
              </w:rPr>
              <w:t>Weighted</w:t>
            </w:r>
          </w:p>
        </w:tc>
        <w:tc>
          <w:tcPr>
            <w:tcW w:w="1160" w:type="dxa"/>
            <w:vAlign w:val="bottom"/>
          </w:tcPr>
          <w:p>
            <w:pPr>
              <w:spacing w:after="0"/>
              <w:rPr>
                <w:sz w:val="14"/>
                <w:szCs w:val="14"/>
                <w:color w:val="auto"/>
              </w:rPr>
            </w:pPr>
          </w:p>
        </w:tc>
        <w:tc>
          <w:tcPr>
            <w:tcW w:w="1300" w:type="dxa"/>
            <w:vAlign w:val="bottom"/>
          </w:tcPr>
          <w:p>
            <w:pPr>
              <w:ind w:left="300"/>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Average</w:t>
            </w:r>
          </w:p>
        </w:tc>
        <w:tc>
          <w:tcPr>
            <w:tcW w:w="1160" w:type="dxa"/>
            <w:vAlign w:val="bottom"/>
          </w:tcPr>
          <w:p>
            <w:pPr>
              <w:spacing w:after="0"/>
              <w:rPr>
                <w:sz w:val="14"/>
                <w:szCs w:val="14"/>
                <w:color w:val="auto"/>
              </w:rPr>
            </w:pPr>
          </w:p>
        </w:tc>
        <w:tc>
          <w:tcPr>
            <w:tcW w:w="1360" w:type="dxa"/>
            <w:vAlign w:val="bottom"/>
          </w:tcPr>
          <w:p>
            <w:pPr>
              <w:ind w:left="320"/>
              <w:spacing w:after="0"/>
              <w:rPr>
                <w:sz w:val="20"/>
                <w:szCs w:val="20"/>
                <w:color w:val="auto"/>
              </w:rPr>
            </w:pPr>
            <w:r>
              <w:rPr>
                <w:rFonts w:ascii="Courier New" w:cs="Courier New" w:eastAsia="Courier New" w:hAnsi="Courier New"/>
                <w:sz w:val="15"/>
                <w:szCs w:val="15"/>
                <w:color w:val="auto"/>
              </w:rPr>
              <w:t>Average</w:t>
            </w:r>
          </w:p>
        </w:tc>
        <w:tc>
          <w:tcPr>
            <w:tcW w:w="1160" w:type="dxa"/>
            <w:vAlign w:val="bottom"/>
          </w:tcPr>
          <w:p>
            <w:pPr>
              <w:spacing w:after="0"/>
              <w:rPr>
                <w:sz w:val="14"/>
                <w:szCs w:val="14"/>
                <w:color w:val="auto"/>
              </w:rPr>
            </w:pPr>
          </w:p>
        </w:tc>
        <w:tc>
          <w:tcPr>
            <w:tcW w:w="1300" w:type="dxa"/>
            <w:vAlign w:val="bottom"/>
          </w:tcPr>
          <w:p>
            <w:pPr>
              <w:ind w:left="30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Shares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w w:val="98"/>
              </w:rPr>
              <w:t>Exercise Price</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9"/>
              </w:rPr>
              <w:t>-------------- -----------</w:t>
            </w:r>
          </w:p>
        </w:tc>
        <w:tc>
          <w:tcPr>
            <w:tcW w:w="3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4"/>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Options outstanding,</w:t>
            </w: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January 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39,196,097</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$36</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42,786,246</w:t>
            </w:r>
          </w:p>
        </w:tc>
        <w:tc>
          <w:tcPr>
            <w:tcW w:w="13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$28</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45,534,784</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w:t>
            </w:r>
          </w:p>
        </w:tc>
      </w:tr>
      <w:tr>
        <w:trPr>
          <w:trHeight w:val="172"/>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Granted.................</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9,761,712</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53</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11,414,328</w:t>
            </w:r>
          </w:p>
        </w:tc>
        <w:tc>
          <w:tcPr>
            <w:tcW w:w="13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53</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12,537,288</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39</w:t>
            </w:r>
          </w:p>
        </w:tc>
      </w:tr>
      <w:tr>
        <w:trPr>
          <w:trHeight w:val="172"/>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Exercised...............</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(9,361,403)</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(14,586,597)</w:t>
            </w:r>
          </w:p>
        </w:tc>
        <w:tc>
          <w:tcPr>
            <w:tcW w:w="13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9"/>
              </w:rPr>
              <w:t>(14,917,508)</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w:t>
            </w:r>
          </w:p>
        </w:tc>
      </w:tr>
      <w:tr>
        <w:trPr>
          <w:trHeight w:val="172"/>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Canceled or expired.....</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(453,519)</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(417,880)</w:t>
            </w:r>
          </w:p>
        </w:tc>
        <w:tc>
          <w:tcPr>
            <w:tcW w:w="13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(368,318)</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w:t>
            </w:r>
          </w:p>
        </w:tc>
      </w:tr>
      <w:tr>
        <w:trPr>
          <w:trHeight w:val="172"/>
        </w:trPr>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72"/>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Options outstanding,</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December</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w w:val="96"/>
              </w:rPr>
              <w:t>31............</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39,142,887</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41</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39,196,097</w:t>
            </w:r>
          </w:p>
        </w:tc>
        <w:tc>
          <w:tcPr>
            <w:tcW w:w="13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36</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42,786,246</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28</w:t>
            </w:r>
          </w:p>
        </w:tc>
      </w:tr>
      <w:tr>
        <w:trPr>
          <w:trHeight w:val="172"/>
        </w:trPr>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72"/>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Options exercisable,</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December 31............</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24,839,562</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$35</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23,813,363</w:t>
            </w:r>
          </w:p>
        </w:tc>
        <w:tc>
          <w:tcPr>
            <w:tcW w:w="13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$28</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26,688,764</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w:t>
            </w:r>
          </w:p>
        </w:tc>
      </w:tr>
      <w:tr>
        <w:trPr>
          <w:trHeight w:val="172"/>
        </w:trPr>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516"/>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ind w:left="940"/>
              <w:spacing w:after="0"/>
              <w:rPr>
                <w:sz w:val="20"/>
                <w:szCs w:val="20"/>
                <w:color w:val="auto"/>
              </w:rPr>
            </w:pPr>
            <w:r>
              <w:rPr>
                <w:rFonts w:ascii="Courier New" w:cs="Courier New" w:eastAsia="Courier New" w:hAnsi="Courier New"/>
                <w:sz w:val="15"/>
                <w:szCs w:val="15"/>
                <w:color w:val="auto"/>
                <w:w w:val="77"/>
              </w:rPr>
              <w:t>27</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27" w:name="page28"/>
    <w:bookmarkEnd w:id="27"/>
    <w:p>
      <w:pPr>
        <w:jc w:val="center"/>
        <w:ind w:right="315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348"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The following table summarizes information relating to currently outstanding and exercisable options as of December 31, 2000:</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Weighted Average</w:t>
            </w:r>
          </w:p>
        </w:tc>
        <w:tc>
          <w:tcPr>
            <w:tcW w:w="138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Weighted</w:t>
            </w:r>
          </w:p>
        </w:tc>
        <w:tc>
          <w:tcPr>
            <w:tcW w:w="1300" w:type="dxa"/>
            <w:vAlign w:val="bottom"/>
          </w:tcPr>
          <w:p>
            <w:pPr>
              <w:spacing w:after="0"/>
              <w:rPr>
                <w:sz w:val="14"/>
                <w:szCs w:val="14"/>
                <w:color w:val="auto"/>
              </w:rPr>
            </w:pP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2280" w:type="dxa"/>
            <w:vAlign w:val="bottom"/>
          </w:tcPr>
          <w:p>
            <w:pPr>
              <w:spacing w:after="0"/>
              <w:rPr>
                <w:sz w:val="14"/>
                <w:szCs w:val="14"/>
                <w:color w:val="auto"/>
              </w:rPr>
            </w:pPr>
          </w:p>
        </w:tc>
        <w:tc>
          <w:tcPr>
            <w:tcW w:w="2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Remaining</w:t>
            </w: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Average</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Options</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Range of Exercise Prices</w:t>
            </w:r>
          </w:p>
        </w:tc>
        <w:tc>
          <w:tcPr>
            <w:tcW w:w="72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Contractual Life in Years Outstanding Exercise Price Exercisable Exercise Price</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$10.64-$20.31...........</w:t>
            </w:r>
          </w:p>
        </w:tc>
        <w:tc>
          <w:tcPr>
            <w:tcW w:w="22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7,036,460</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7,036,460</w:t>
            </w: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$20.79-$31.08...........</w:t>
            </w:r>
          </w:p>
        </w:tc>
        <w:tc>
          <w:tcPr>
            <w:tcW w:w="22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5,116,003</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4,876,003</w:t>
            </w: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$31.33-$44.59...........</w:t>
            </w:r>
          </w:p>
        </w:tc>
        <w:tc>
          <w:tcPr>
            <w:tcW w:w="22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7</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6,565,573</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4,539,054</w:t>
            </w: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36</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$44.61-$52.19...........</w:t>
            </w:r>
          </w:p>
        </w:tc>
        <w:tc>
          <w:tcPr>
            <w:tcW w:w="22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9</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6,789,775</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1,205,781</w:t>
            </w: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48</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$52.31-$55.66...........</w:t>
            </w:r>
          </w:p>
        </w:tc>
        <w:tc>
          <w:tcPr>
            <w:tcW w:w="22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8</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8,771,756</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55</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3,556,606</w:t>
            </w: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54</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$55.72-$64.75...........</w:t>
            </w:r>
          </w:p>
        </w:tc>
        <w:tc>
          <w:tcPr>
            <w:tcW w:w="22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5</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4,863,320</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59</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3,625,658</w:t>
            </w: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58</w:t>
            </w:r>
          </w:p>
        </w:tc>
      </w:tr>
      <w:tr>
        <w:trPr>
          <w:trHeight w:val="172"/>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172"/>
        </w:trPr>
        <w:tc>
          <w:tcPr>
            <w:tcW w:w="2280" w:type="dxa"/>
            <w:vAlign w:val="bottom"/>
          </w:tcPr>
          <w:p>
            <w:pPr>
              <w:spacing w:after="0"/>
              <w:rPr>
                <w:sz w:val="14"/>
                <w:szCs w:val="14"/>
                <w:color w:val="auto"/>
              </w:rPr>
            </w:pPr>
          </w:p>
        </w:tc>
        <w:tc>
          <w:tcPr>
            <w:tcW w:w="22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6</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39,142,887</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$41</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24,839,562</w:t>
            </w: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w:t>
            </w:r>
          </w:p>
        </w:tc>
      </w:tr>
      <w:tr>
        <w:trPr>
          <w:trHeight w:val="172"/>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bl>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applies Accounting Principles Board Opinion No. 25, "Accounting for Stock Issued to Employees," and related interpretations in accounting for options granted under the Plans. Accordingly, no compensation expense has been recognized. Had compensation expense been determined based on the Black-Scholes option pricing model value at the grant date for awards in 2000, 1999 and 1998 consistent with the provisions of Statement of Financial Accounting Standards No. 123, "Accounting for Stock-Based Compensation" (SFAS 123), the Company's net income, basic earnings per common share and diluted earnings per common share would have been $1,006.1, $1.71 per share and $1.60 per share, respectively, in 2000; $891.9, $1.49 per share and $1.40 per share, respectively, in 1999; and $803.5, $1.33 per share and $1.25 per share, respectively, in 1998.</w:t>
      </w:r>
    </w:p>
    <w:p>
      <w:pPr>
        <w:spacing w:after="0" w:line="180"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weighted average Black-Scholes value of grants issued in 2000, 1999 and 1998 was $10.95, $8.61 and $6.24, respectively. The Black-Scholes value of each option granted is estimated using the Black-Scholes option pricing model with the following assumptions: option term until exercise ranging from 2 to 7 years, volatility ranging from 22% to 41%, risk-free interest rate ranging from 5.0% to 6.2% and an expected dividend yield of 2.5%. The Black-Scholes model used to determine the option values shown above was developed to estimate the fair value of short-term freely tradable, fully transferable options without vesting restrictions and was not designed to value reloads, all of which significantly differ from the Company's stock option awards. The value of this model is also limited by the inclusion of highly subjective assumptions which greatly affect calculated values.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Employee Stock Ownership Plan</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1989, the Company expanded its Employee Stock Ownership Plan ("ESOP") through the introduction of a leveraged ESOP covering certain employees who have met certain eligibility requirements. The ESOP issued $410.0 of long-term notes due through 2009 bearing an average interest rate of 8.7%. The long-term notes, which are guaranteed by the Company, are reflected in the accompanying Consolidated Balance Sheets. The ESOP used the proceeds of the notes to purchase 6.3 million shares of Series B Convertible Preference Stock from the Company. The Stock has a minimum redemption price of $65 per share and pays semiannual dividends equal to the higher of $2.44 or the current dividend paid on eight common shares for the comparable six-month period. During 2000, the ESOP entered into a loan agreement with the Company under which the benefits of the ESOP may be extended through 2035.</w:t>
      </w:r>
    </w:p>
    <w:p>
      <w:pPr>
        <w:spacing w:after="0" w:line="180" w:lineRule="exact"/>
        <w:rPr>
          <w:sz w:val="20"/>
          <w:szCs w:val="20"/>
          <w:color w:val="auto"/>
        </w:rPr>
      </w:pPr>
    </w:p>
    <w:p>
      <w:pPr>
        <w:ind w:right="3439" w:firstLine="179"/>
        <w:spacing w:after="0" w:line="241" w:lineRule="auto"/>
        <w:rPr>
          <w:sz w:val="20"/>
          <w:szCs w:val="20"/>
          <w:color w:val="auto"/>
        </w:rPr>
      </w:pPr>
      <w:r>
        <w:rPr>
          <w:rFonts w:ascii="Courier New" w:cs="Courier New" w:eastAsia="Courier New" w:hAnsi="Courier New"/>
          <w:sz w:val="15"/>
          <w:szCs w:val="15"/>
          <w:color w:val="auto"/>
        </w:rPr>
        <w:t>Dividends on these preferred shares, as well as common shares also held by the ESOP, are paid to the ESOP trust and, together with contributions, are used by the ESOP to repay principal and interest on the outstanding</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3" w:right="1440" w:bottom="1440" w:gutter="0" w:footer="0" w:header="0"/>
        </w:sectPr>
      </w:pPr>
    </w:p>
    <w:bookmarkStart w:id="28" w:name="page29"/>
    <w:bookmarkEnd w:id="28"/>
    <w:p>
      <w:pPr>
        <w:jc w:val="center"/>
        <w:ind w:right="3171"/>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notes. Preferred shares are released for allocation to participants based upon the ratio of the current year's debt service to the sum of total principal and interest payments over the life of the loan. At December 31, 2000, 1,654,219 shares were allocated to participant accounts and 3,600,628 shares were available for future allocation. Each allocated share may be converted by the trustee into eight common shares but preferred shares generally convert only after the employee ceases to work for the Company.</w:t>
      </w:r>
    </w:p>
    <w:p>
      <w:pPr>
        <w:spacing w:after="0" w:line="177" w:lineRule="exact"/>
        <w:rPr>
          <w:sz w:val="20"/>
          <w:szCs w:val="20"/>
          <w:color w:val="auto"/>
        </w:rPr>
      </w:pPr>
    </w:p>
    <w:p>
      <w:pPr>
        <w:jc w:val="both"/>
        <w:ind w:left="8" w:right="3439" w:firstLine="179"/>
        <w:spacing w:after="0" w:line="242" w:lineRule="auto"/>
        <w:rPr>
          <w:sz w:val="20"/>
          <w:szCs w:val="20"/>
          <w:color w:val="auto"/>
        </w:rPr>
      </w:pPr>
      <w:r>
        <w:rPr>
          <w:rFonts w:ascii="Courier New" w:cs="Courier New" w:eastAsia="Courier New" w:hAnsi="Courier New"/>
          <w:sz w:val="15"/>
          <w:szCs w:val="15"/>
          <w:color w:val="auto"/>
        </w:rPr>
        <w:t>Dividends on these preferred shares are deductible for income tax purposes and, accordingly, are reflected net of their tax benefit in the Consolidated Statements of Retained Earnings, Comprehensive Income and Changes in Capital Accounts.</w:t>
      </w:r>
    </w:p>
    <w:p>
      <w:pPr>
        <w:spacing w:after="0" w:line="175"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Annual expense related to the leveraged ESOP, determined as interest incurred on the notes, less employee contributions and dividends received on the shares held by the ESOP, plus the higher of either principal repayments on the notes or the cost of shares allocated, was $3.4 in 2000, $9.2 in 1999 and $2.4 in 1998. Similarly, unearned compensation, shown as a reduction in shareholders' equity, is reduced by the higher of principal payments or the cost of shares allocated.</w:t>
      </w:r>
    </w:p>
    <w:p>
      <w:pPr>
        <w:spacing w:after="0" w:line="177"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Interest incurred on the ESOP's notes was $31.4 in 2000, $32.0 in 1999 and $32.5 in 1998. The Company paid dividends on the stock held by the ESOP of $28.6 in 2000, $29.1 in 1999 and $29.3 in 1998. Company contributions to the ESOP were $4.8 in 2000, $9.3 in 1999 and $0 in 1998. Employee contributions to the ESOP were $0 in 2000, $.6 in 1999 and $9.4 in 1998.</w:t>
      </w:r>
    </w:p>
    <w:p>
      <w:pPr>
        <w:spacing w:after="0" w:line="175" w:lineRule="exact"/>
        <w:rPr>
          <w:sz w:val="20"/>
          <w:szCs w:val="20"/>
          <w:color w:val="auto"/>
        </w:rPr>
      </w:pPr>
    </w:p>
    <w:p>
      <w:pPr>
        <w:ind w:left="8" w:right="6119" w:hanging="8"/>
        <w:spacing w:after="0" w:line="483" w:lineRule="auto"/>
        <w:tabs>
          <w:tab w:leader="none" w:pos="27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Plans and Other Retiree Benefits Retirement Plans</w:t>
      </w:r>
    </w:p>
    <w:p>
      <w:pPr>
        <w:spacing w:after="0" w:line="4"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Company, its U.S. subsidiaries and some of its overseas subsidiaries maintain defined benefit retirement plans covering substantially all of their employees. Benefits are based primarily on years of service and employees' career earnings. In the Company's principal U.S. plans, funds are contributed to the trusts in accordance with regulatory limits to provide for current service and for any unfunded projected benefit obligation over a reasonable period. Assets of the plans consist principally of common stocks, guaranteed investment contracts with insurance companies, investments in real estate funds and U.S. Government and corporate obligations. Domestic plan assets also include investments in the Company's common stock representing 11% and 10% of plan assets at December 31, 2000 and 1999, respectively.</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Retiree Benefits</w:t>
      </w:r>
    </w:p>
    <w:p>
      <w:pPr>
        <w:spacing w:after="0" w:line="176"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Company and certain of its subsidiaries provide health care and life insurance benefits for retired employees to the extent not provided by government-sponsored plans. The Company utilizes a portion of its leveraged ESOP, in the form of future retiree contributions, to reduce its obligation to provide these postretirement benefits and offset its current service cost. Postretirement benefits otherwise are not currently funded.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7"/>
          </w:cols>
          <w:pgMar w:left="232" w:top="633" w:right="1440" w:bottom="1440" w:gutter="0" w:footer="0" w:header="0"/>
        </w:sectPr>
      </w:pPr>
    </w:p>
    <w:bookmarkStart w:id="29" w:name="page30"/>
    <w:bookmarkEnd w:id="29"/>
    <w:p>
      <w:pPr>
        <w:jc w:val="center"/>
        <w:ind w:right="315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Summarized information of the Company's defined benefit retirement plans and postretirement plans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Other</w:t>
            </w: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5"/>
          </w:tcPr>
          <w:p>
            <w:pPr>
              <w:jc w:val="right"/>
              <w:ind w:right="325"/>
              <w:spacing w:after="0"/>
              <w:rPr>
                <w:sz w:val="20"/>
                <w:szCs w:val="20"/>
                <w:color w:val="auto"/>
              </w:rPr>
            </w:pPr>
            <w:r>
              <w:rPr>
                <w:rFonts w:ascii="Courier New" w:cs="Courier New" w:eastAsia="Courier New" w:hAnsi="Courier New"/>
                <w:sz w:val="15"/>
                <w:szCs w:val="15"/>
                <w:color w:val="auto"/>
              </w:rPr>
              <w:t>Pension Benefits</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Retiree Benefits</w:t>
            </w:r>
          </w:p>
        </w:tc>
      </w:tr>
      <w:tr>
        <w:trPr>
          <w:trHeight w:val="172"/>
        </w:trPr>
        <w:tc>
          <w:tcPr>
            <w:tcW w:w="222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5"/>
                <w:szCs w:val="5"/>
                <w:color w:val="auto"/>
                <w:w w:val="75"/>
              </w:rPr>
              <w: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c>
          <w:tcPr>
            <w:tcW w:w="40" w:type="dxa"/>
            <w:vAlign w:val="bottom"/>
          </w:tcPr>
          <w:p>
            <w:pPr>
              <w:spacing w:after="0"/>
              <w:rPr>
                <w:sz w:val="14"/>
                <w:szCs w:val="14"/>
                <w:color w:val="auto"/>
              </w:rPr>
            </w:pP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2220" w:type="dxa"/>
            <w:vAlign w:val="bottom"/>
          </w:tcPr>
          <w:p>
            <w:pPr>
              <w:spacing w:after="0"/>
              <w:rPr>
                <w:sz w:val="14"/>
                <w:szCs w:val="14"/>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  --------</w:t>
            </w:r>
          </w:p>
        </w:tc>
      </w:tr>
      <w:tr>
        <w:trPr>
          <w:trHeight w:val="172"/>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Courier New" w:cs="Courier New" w:eastAsia="Courier New" w:hAnsi="Courier New"/>
                <w:sz w:val="15"/>
                <w:szCs w:val="15"/>
                <w:color w:val="auto"/>
              </w:rPr>
              <w:t>North America</w:t>
            </w:r>
          </w:p>
        </w:tc>
        <w:tc>
          <w:tcPr>
            <w:tcW w:w="40" w:type="dxa"/>
            <w:vAlign w:val="bottom"/>
          </w:tcPr>
          <w:p>
            <w:pPr>
              <w:spacing w:after="0"/>
              <w:rPr>
                <w:sz w:val="14"/>
                <w:szCs w:val="14"/>
                <w:color w:val="auto"/>
              </w:rPr>
            </w:pPr>
          </w:p>
        </w:tc>
        <w:tc>
          <w:tcPr>
            <w:tcW w:w="15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International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5"/>
              </w:rPr>
              <w: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Change in Benefit</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Obligation</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Benefit obligation at</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beginning of year......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919.2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998.3</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$ 311.0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$ 329.6</w:t>
            </w:r>
          </w:p>
        </w:tc>
        <w:tc>
          <w:tcPr>
            <w:tcW w:w="6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156.1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153.0</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28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28.7</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29.4</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28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70.7</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65.9</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Participant's</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contribution...........</w:t>
            </w:r>
          </w:p>
        </w:tc>
        <w:tc>
          <w:tcPr>
            <w:tcW w:w="28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Acquisitions/plan</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amendments.............</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Actuarial loss/(gain)...</w:t>
            </w:r>
          </w:p>
        </w:tc>
        <w:tc>
          <w:tcPr>
            <w:tcW w:w="28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39.0</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(96.7)</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11.3</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Foreign exchange impact.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(38.3)</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(83.0)</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(17.6)</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2"/>
        </w:trPr>
        <w:tc>
          <w:tcPr>
            <w:tcW w:w="2220" w:type="dxa"/>
            <w:vAlign w:val="bottom"/>
          </w:tcPr>
          <w:p>
            <w:pPr>
              <w:spacing w:after="0"/>
              <w:rPr>
                <w:sz w:val="14"/>
                <w:szCs w:val="14"/>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  --------</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Benefit obligation at</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end of year............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919.2</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$ 307.6</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$ 311.0</w:t>
            </w:r>
          </w:p>
        </w:tc>
        <w:tc>
          <w:tcPr>
            <w:tcW w:w="6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164.2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156.1</w:t>
            </w:r>
          </w:p>
        </w:tc>
      </w:tr>
      <w:tr>
        <w:trPr>
          <w:trHeight w:val="172"/>
        </w:trPr>
        <w:tc>
          <w:tcPr>
            <w:tcW w:w="2220" w:type="dxa"/>
            <w:vAlign w:val="bottom"/>
          </w:tcPr>
          <w:p>
            <w:pPr>
              <w:spacing w:after="0"/>
              <w:rPr>
                <w:sz w:val="14"/>
                <w:szCs w:val="14"/>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3"/>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Fair value of plan</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assets at beginning of</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$1,075.1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962.8</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$ 224.7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$ 215.0</w:t>
            </w:r>
          </w:p>
        </w:tc>
        <w:tc>
          <w:tcPr>
            <w:tcW w:w="6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Actual return on plan</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179.7</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Company contributions...</w:t>
            </w:r>
          </w:p>
        </w:tc>
        <w:tc>
          <w:tcPr>
            <w:tcW w:w="28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12.1</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Plan participant</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contributions..........</w:t>
            </w:r>
          </w:p>
        </w:tc>
        <w:tc>
          <w:tcPr>
            <w:tcW w:w="28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Foreign exchange impact.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c>
          <w:tcPr>
            <w:tcW w:w="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(25.1)</w:t>
            </w:r>
          </w:p>
        </w:tc>
        <w:tc>
          <w:tcPr>
            <w:tcW w:w="12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Acquisitions/plan</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amendments.............</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(83.0)</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(17.6)</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2"/>
        </w:trPr>
        <w:tc>
          <w:tcPr>
            <w:tcW w:w="2220" w:type="dxa"/>
            <w:vAlign w:val="bottom"/>
          </w:tcPr>
          <w:p>
            <w:pPr>
              <w:spacing w:after="0"/>
              <w:rPr>
                <w:sz w:val="14"/>
                <w:szCs w:val="14"/>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3"/>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Fair value of plan</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assets at end of year..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967.5</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$1,075.1</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$ 208.9</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$ 224.7</w:t>
            </w:r>
          </w:p>
        </w:tc>
        <w:tc>
          <w:tcPr>
            <w:tcW w:w="6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  --------</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Funded status at end of</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155.9</w:t>
            </w:r>
          </w:p>
        </w:tc>
        <w:tc>
          <w:tcPr>
            <w:tcW w:w="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(98.7)</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(86.3)</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$(164.2)</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$(156.1)</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Unrecognized net</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transition</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liability/(asset)......</w:t>
            </w:r>
          </w:p>
        </w:tc>
        <w:tc>
          <w:tcPr>
            <w:tcW w:w="28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w:t>
            </w:r>
          </w:p>
        </w:tc>
        <w:tc>
          <w:tcPr>
            <w:tcW w:w="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Unrecognized net</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actuarial (gain)/loss..</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(176.1)</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13.6</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Unrecognized prior</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service costs..........</w:t>
            </w:r>
          </w:p>
        </w:tc>
        <w:tc>
          <w:tcPr>
            <w:tcW w:w="28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27.3</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33.8</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2"/>
        </w:trPr>
        <w:tc>
          <w:tcPr>
            <w:tcW w:w="2220" w:type="dxa"/>
            <w:vAlign w:val="bottom"/>
          </w:tcPr>
          <w:p>
            <w:pPr>
              <w:spacing w:after="0"/>
              <w:rPr>
                <w:sz w:val="14"/>
                <w:szCs w:val="14"/>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amount recognized...</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w:t>
            </w:r>
          </w:p>
        </w:tc>
        <w:tc>
          <w:tcPr>
            <w:tcW w:w="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(80.2)</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$(82.8)</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$(178.6)</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$(181.3)</w:t>
            </w:r>
          </w:p>
        </w:tc>
      </w:tr>
      <w:tr>
        <w:trPr>
          <w:trHeight w:val="172"/>
        </w:trPr>
        <w:tc>
          <w:tcPr>
            <w:tcW w:w="2220" w:type="dxa"/>
            <w:vAlign w:val="bottom"/>
          </w:tcPr>
          <w:p>
            <w:pPr>
              <w:spacing w:after="0"/>
              <w:rPr>
                <w:sz w:val="14"/>
                <w:szCs w:val="14"/>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3"/>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Amounts Recognized in</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Balance Sheet</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107.8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97.7</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31.0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34.4</w:t>
            </w:r>
          </w:p>
        </w:tc>
        <w:tc>
          <w:tcPr>
            <w:tcW w:w="6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(91.0)</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(83.3)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(111.2)</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(117.2)</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(178.6)</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(181.3)</w:t>
            </w:r>
          </w:p>
        </w:tc>
      </w:tr>
      <w:tr>
        <w:trPr>
          <w:trHeight w:val="172"/>
        </w:trPr>
        <w:tc>
          <w:tcPr>
            <w:tcW w:w="2220" w:type="dxa"/>
            <w:vAlign w:val="bottom"/>
          </w:tcPr>
          <w:p>
            <w:pPr>
              <w:spacing w:after="0"/>
              <w:rPr>
                <w:sz w:val="14"/>
                <w:szCs w:val="14"/>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amount recognized...</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w:t>
            </w:r>
          </w:p>
        </w:tc>
        <w:tc>
          <w:tcPr>
            <w:tcW w:w="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(80.2)</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(82.8)</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$(178.6)</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$(181.3)</w:t>
            </w:r>
          </w:p>
        </w:tc>
      </w:tr>
      <w:tr>
        <w:trPr>
          <w:trHeight w:val="172"/>
        </w:trPr>
        <w:tc>
          <w:tcPr>
            <w:tcW w:w="2220" w:type="dxa"/>
            <w:vAlign w:val="bottom"/>
          </w:tcPr>
          <w:p>
            <w:pPr>
              <w:spacing w:after="0"/>
              <w:rPr>
                <w:sz w:val="14"/>
                <w:szCs w:val="14"/>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  ========</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Assumptions</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7.30%</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7.04%</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8.00%</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Long-term rate of return</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on plan assets.........</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9.25%</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9.31%</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8.75%</w:t>
            </w:r>
          </w:p>
        </w:tc>
        <w:tc>
          <w:tcPr>
            <w:tcW w:w="12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Long-term rate of</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compensation increase..</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4.54%</w:t>
            </w:r>
          </w:p>
        </w:tc>
        <w:tc>
          <w:tcPr>
            <w:tcW w:w="12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ESOP growth rate........</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516"/>
        </w:trPr>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w:t>
            </w: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rPr>
              <w:t>COLGATE-PALMOLIVE COMPANY</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44"/>
        </w:trPr>
        <w:tc>
          <w:tcPr>
            <w:tcW w:w="5000" w:type="dxa"/>
            <w:vAlign w:val="bottom"/>
            <w:gridSpan w:val="6"/>
          </w:tcPr>
          <w:p>
            <w:pPr>
              <w:ind w:left="1060"/>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14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w w:val="96"/>
              </w:rPr>
              <w:t>(continued)</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4"/>
        </w:trPr>
        <w:tc>
          <w:tcPr>
            <w:tcW w:w="5800" w:type="dxa"/>
            <w:vAlign w:val="bottom"/>
            <w:gridSpan w:val="7"/>
          </w:tcPr>
          <w:p>
            <w:pPr>
              <w:ind w:left="1420"/>
              <w:spacing w:after="0"/>
              <w:rPr>
                <w:sz w:val="20"/>
                <w:szCs w:val="20"/>
                <w:color w:val="auto"/>
              </w:rPr>
            </w:pPr>
            <w:r>
              <w:rPr>
                <w:rFonts w:ascii="Courier New" w:cs="Courier New" w:eastAsia="Courier New" w:hAnsi="Courier New"/>
                <w:sz w:val="15"/>
                <w:szCs w:val="15"/>
                <w:color w:val="auto"/>
              </w:rPr>
              <w:t>(Dollars in Millions Except Per Share Amounts)</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688"/>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Other Retiree</w:t>
            </w:r>
          </w:p>
        </w:tc>
        <w:tc>
          <w:tcPr>
            <w:tcW w:w="540" w:type="dxa"/>
            <w:vAlign w:val="bottom"/>
          </w:tcPr>
          <w:p>
            <w:pPr>
              <w:spacing w:after="0"/>
              <w:rPr>
                <w:sz w:val="24"/>
                <w:szCs w:val="24"/>
                <w:color w:val="auto"/>
              </w:rPr>
            </w:pPr>
          </w:p>
        </w:tc>
      </w:tr>
      <w:tr>
        <w:trPr>
          <w:trHeight w:val="172"/>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Pension Benefits</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Benefits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Courier New" w:cs="Courier New" w:eastAsia="Courier New" w:hAnsi="Courier New"/>
                <w:sz w:val="3"/>
                <w:szCs w:val="3"/>
                <w:color w:val="auto"/>
                <w:w w:val="79"/>
              </w:rPr>
              <w:t>----------------------------------------------</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2000</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1998</w:t>
            </w:r>
          </w:p>
        </w:tc>
      </w:tr>
      <w:tr>
        <w:trPr>
          <w:trHeight w:val="172"/>
        </w:trPr>
        <w:tc>
          <w:tcPr>
            <w:tcW w:w="2180" w:type="dxa"/>
            <w:vAlign w:val="bottom"/>
          </w:tcPr>
          <w:p>
            <w:pPr>
              <w:spacing w:after="0"/>
              <w:rPr>
                <w:sz w:val="14"/>
                <w:szCs w:val="14"/>
                <w:color w:val="auto"/>
              </w:rPr>
            </w:pP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North America</w:t>
            </w:r>
          </w:p>
        </w:tc>
        <w:tc>
          <w:tcPr>
            <w:tcW w:w="6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International</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Courier New" w:cs="Courier New" w:eastAsia="Courier New" w:hAnsi="Courier New"/>
                <w:sz w:val="7"/>
                <w:szCs w:val="7"/>
                <w:color w:val="auto"/>
                <w:w w:val="71"/>
              </w:rPr>
              <w:t>----------------------</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6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Components of Net</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Periodic Benefit Costs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w w:val="99"/>
              </w:rPr>
              <w:t>Service cost............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28.7</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$ 29.4</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$ 28.1</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$ 11.5</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$ 12.4</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$ 17.7</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$ 3.7</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$ 3.4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w w:val="99"/>
              </w:rPr>
              <w:t>Interest cost...........</w:t>
            </w:r>
          </w:p>
        </w:tc>
        <w:tc>
          <w:tcPr>
            <w:tcW w:w="1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70.7</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65.9</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68.9</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19.5</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18.2</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14.5</w:t>
            </w:r>
          </w:p>
        </w:tc>
        <w:tc>
          <w:tcPr>
            <w:tcW w:w="14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14.7</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w w:val="99"/>
              </w:rPr>
              <w:t>Annual ESOP allocation..</w:t>
            </w:r>
          </w:p>
        </w:tc>
        <w:tc>
          <w:tcPr>
            <w:tcW w:w="14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(15.0)</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Expected return on plan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(95.8)</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(80.8)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transition/prior</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service costs..........</w:t>
            </w:r>
          </w:p>
        </w:tc>
        <w:tc>
          <w:tcPr>
            <w:tcW w:w="1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actuarial (gain)/loss..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2180" w:type="dxa"/>
            <w:vAlign w:val="bottom"/>
          </w:tcPr>
          <w:p>
            <w:pPr>
              <w:spacing w:after="0"/>
              <w:rPr>
                <w:sz w:val="14"/>
                <w:szCs w:val="14"/>
                <w:color w:val="auto"/>
              </w:rPr>
            </w:pP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Net periodic benefit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cost...................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$ 10.5</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$ 16.8</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$ 15.4</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$ 18.8</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$ 22.6</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$ 8.2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r>
      <w:tr>
        <w:trPr>
          <w:trHeight w:val="172"/>
        </w:trPr>
        <w:tc>
          <w:tcPr>
            <w:tcW w:w="2180" w:type="dxa"/>
            <w:vAlign w:val="bottom"/>
          </w:tcPr>
          <w:p>
            <w:pPr>
              <w:spacing w:after="0"/>
              <w:rPr>
                <w:sz w:val="14"/>
                <w:szCs w:val="14"/>
                <w:color w:val="auto"/>
              </w:rPr>
            </w:pP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19" w:firstLine="179"/>
        <w:spacing w:after="0" w:line="242" w:lineRule="auto"/>
        <w:rPr>
          <w:sz w:val="20"/>
          <w:szCs w:val="20"/>
          <w:color w:val="auto"/>
        </w:rPr>
      </w:pPr>
      <w:r>
        <w:rPr>
          <w:rFonts w:ascii="Courier New" w:cs="Courier New" w:eastAsia="Courier New" w:hAnsi="Courier New"/>
          <w:sz w:val="15"/>
          <w:szCs w:val="15"/>
          <w:color w:val="auto"/>
        </w:rPr>
        <w:t>The accumulated benefit obligation and fair value of plan assets for the pension plans with accumulated benefit obligations in excess of plan assets were $202.0 and $5.4, respectively, as of December 31, 2000, and $203.7 and $9.7, respectively, as of December 31, 1999. These amounts represent non-qualified domestic plans and plans at foreign locations that are primarily unfunded, as such book reserves equal to the unfunded amount have been recorded.</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projected benefit obligation and fair value of plan assets for the pension plans with projected benefit obligations in excess of plan assets were $291.7 and $50.4, respectively, as of December 31, 2000, and $271.6 and $42.9, respectively, as of December 31, 1999.</w:t>
      </w:r>
    </w:p>
    <w:p>
      <w:pPr>
        <w:spacing w:after="0" w:line="175"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The assumed medical cost trend rate used in measuring the postretirement benefit obligation was 7.0% for 2001, 6.0% for 2002 and 5.0% for years thereafter. Changes in this rate can have a significant effect on amounts reported. The effect of a 1% increase/decrease in the assumed medical cost trend rate would change the accumulated postretirement benefit obligation by approximately $15.5; annual expense would change by approximately $1.8.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Income Taxes</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The provision for income taxes consists of the following for the three years ended December 31:</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5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United States.....................................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130.5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122.6</w:t>
            </w:r>
          </w:p>
        </w:tc>
      </w:tr>
      <w:tr>
        <w:trPr>
          <w:trHeight w:val="172"/>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International.....................................</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352.5</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326.8</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278.9</w:t>
            </w:r>
          </w:p>
        </w:tc>
      </w:tr>
      <w:tr>
        <w:trPr>
          <w:trHeight w:val="172"/>
        </w:trPr>
        <w:tc>
          <w:tcPr>
            <w:tcW w:w="45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503.4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457.3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401.5</w:t>
            </w:r>
          </w:p>
        </w:tc>
      </w:tr>
      <w:tr>
        <w:trPr>
          <w:trHeight w:val="172"/>
        </w:trPr>
        <w:tc>
          <w:tcPr>
            <w:tcW w:w="45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right="3519" w:firstLine="179"/>
        <w:spacing w:after="0"/>
        <w:rPr>
          <w:sz w:val="20"/>
          <w:szCs w:val="20"/>
          <w:color w:val="auto"/>
        </w:rPr>
      </w:pPr>
      <w:r>
        <w:rPr>
          <w:rFonts w:ascii="Courier New" w:cs="Courier New" w:eastAsia="Courier New" w:hAnsi="Courier New"/>
          <w:sz w:val="15"/>
          <w:szCs w:val="15"/>
          <w:color w:val="auto"/>
        </w:rPr>
        <w:t>The components of income before income taxes are as follows for the three years ended December 31:</w:t>
      </w:r>
    </w:p>
    <w:p>
      <w:pPr>
        <w:spacing w:after="0" w:line="346"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4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1160" w:type="dxa"/>
            <w:vAlign w:val="bottom"/>
          </w:tcPr>
          <w:p>
            <w:pPr>
              <w:spacing w:after="0"/>
              <w:rPr>
                <w:sz w:val="14"/>
                <w:szCs w:val="14"/>
                <w:color w:val="auto"/>
              </w:rPr>
            </w:pPr>
          </w:p>
        </w:tc>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United States</w:t>
            </w:r>
          </w:p>
        </w:tc>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w w:val="99"/>
              </w:rPr>
              <w:t>..................................... $  483.3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406.3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362.0</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International</w:t>
            </w:r>
          </w:p>
        </w:tc>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w w:val="99"/>
              </w:rPr>
              <w:t>.....................................  1,083.9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988.3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888.1</w:t>
            </w:r>
          </w:p>
        </w:tc>
      </w:tr>
      <w:tr>
        <w:trPr>
          <w:trHeight w:val="172"/>
        </w:trPr>
        <w:tc>
          <w:tcPr>
            <w:tcW w:w="1160" w:type="dxa"/>
            <w:vAlign w:val="bottom"/>
          </w:tcPr>
          <w:p>
            <w:pPr>
              <w:spacing w:after="0"/>
              <w:rPr>
                <w:sz w:val="14"/>
                <w:szCs w:val="14"/>
                <w:color w:val="auto"/>
              </w:rPr>
            </w:pPr>
          </w:p>
        </w:tc>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160" w:type="dxa"/>
            <w:vAlign w:val="bottom"/>
          </w:tcPr>
          <w:p>
            <w:pPr>
              <w:spacing w:after="0"/>
              <w:rPr>
                <w:sz w:val="14"/>
                <w:szCs w:val="14"/>
                <w:color w:val="auto"/>
              </w:rPr>
            </w:pPr>
          </w:p>
        </w:tc>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$1,567.2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$1,394.6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$1,250.1</w:t>
            </w:r>
          </w:p>
        </w:tc>
      </w:tr>
      <w:tr>
        <w:trPr>
          <w:trHeight w:val="172"/>
        </w:trPr>
        <w:tc>
          <w:tcPr>
            <w:tcW w:w="1160" w:type="dxa"/>
            <w:vAlign w:val="bottom"/>
          </w:tcPr>
          <w:p>
            <w:pPr>
              <w:spacing w:after="0"/>
              <w:rPr>
                <w:sz w:val="14"/>
                <w:szCs w:val="14"/>
                <w:color w:val="auto"/>
              </w:rPr>
            </w:pPr>
          </w:p>
        </w:tc>
        <w:tc>
          <w:tcPr>
            <w:tcW w:w="5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516"/>
        </w:trPr>
        <w:tc>
          <w:tcPr>
            <w:tcW w:w="1160" w:type="dxa"/>
            <w:vAlign w:val="bottom"/>
          </w:tcPr>
          <w:p>
            <w:pPr>
              <w:spacing w:after="0"/>
              <w:rPr>
                <w:sz w:val="24"/>
                <w:szCs w:val="24"/>
                <w:color w:val="auto"/>
              </w:rPr>
            </w:pPr>
          </w:p>
        </w:tc>
        <w:tc>
          <w:tcPr>
            <w:tcW w:w="4160" w:type="dxa"/>
            <w:vAlign w:val="bottom"/>
          </w:tcPr>
          <w:p>
            <w:pPr>
              <w:jc w:val="right"/>
              <w:ind w:right="1945"/>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633" w:right="1440" w:bottom="1022" w:gutter="0" w:footer="0" w:header="0"/>
        </w:sectPr>
      </w:pPr>
    </w:p>
    <w:bookmarkStart w:id="31" w:name="page32"/>
    <w:bookmarkEnd w:id="31"/>
    <w:p>
      <w:pPr>
        <w:jc w:val="center"/>
        <w:ind w:right="315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348" w:lineRule="exact"/>
        <w:rPr>
          <w:sz w:val="20"/>
          <w:szCs w:val="20"/>
          <w:color w:val="auto"/>
        </w:rPr>
      </w:pPr>
    </w:p>
    <w:p>
      <w:pPr>
        <w:ind w:right="3439" w:firstLine="268"/>
        <w:spacing w:after="0" w:line="241" w:lineRule="auto"/>
        <w:rPr>
          <w:sz w:val="20"/>
          <w:szCs w:val="20"/>
          <w:color w:val="auto"/>
        </w:rPr>
      </w:pPr>
      <w:r>
        <w:rPr>
          <w:rFonts w:ascii="Courier New" w:cs="Courier New" w:eastAsia="Courier New" w:hAnsi="Courier New"/>
          <w:sz w:val="15"/>
          <w:szCs w:val="15"/>
          <w:color w:val="auto"/>
        </w:rPr>
        <w:t>The difference between the statutory U.S. federal income tax rate and the Company's global effective tax rate as reflected in the Consolidated Statements of Income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Percentage of Income Before Tax</w:t>
            </w: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Tax at U.S. statutory rate..........................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State income taxes, net of federal benefit..........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Earnings taxed at other than U.S. statutory rate....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Reversal of valuation allowance.....................</w:t>
            </w: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Other, net..........................................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w:t>
            </w:r>
          </w:p>
        </w:tc>
      </w:tr>
      <w:tr>
        <w:trPr>
          <w:trHeight w:val="172"/>
        </w:trPr>
        <w:tc>
          <w:tcPr>
            <w:tcW w:w="470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Effective tax rate..................................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32.1%</w:t>
            </w:r>
          </w:p>
        </w:tc>
      </w:tr>
      <w:tr>
        <w:trPr>
          <w:trHeight w:val="172"/>
        </w:trPr>
        <w:tc>
          <w:tcPr>
            <w:tcW w:w="470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In addition, net tax benefits/(costs) of $91.6 in 2000, $169.0 in 1999 and $(18.5) in 1998 were recorded directly through equity which included tax benefits related to employee benefit plans. The 1999 amount also reflects tax benefits related to currency devaluation in Brazil whereas the 1998 amount reflects tax adjustments recorded upon the change in accounting for Brazil as no longer highly inflationary.</w:t>
      </w:r>
    </w:p>
    <w:p>
      <w:pPr>
        <w:spacing w:after="0" w:line="176" w:lineRule="exact"/>
        <w:rPr>
          <w:sz w:val="20"/>
          <w:szCs w:val="20"/>
          <w:color w:val="auto"/>
        </w:rPr>
      </w:pPr>
    </w:p>
    <w:p>
      <w:pPr>
        <w:ind w:right="3259" w:firstLine="268"/>
        <w:spacing w:after="0" w:line="241" w:lineRule="auto"/>
        <w:rPr>
          <w:sz w:val="20"/>
          <w:szCs w:val="20"/>
          <w:color w:val="auto"/>
        </w:rPr>
      </w:pPr>
      <w:r>
        <w:rPr>
          <w:rFonts w:ascii="Courier New" w:cs="Courier New" w:eastAsia="Courier New" w:hAnsi="Courier New"/>
          <w:sz w:val="15"/>
          <w:szCs w:val="15"/>
          <w:color w:val="auto"/>
        </w:rPr>
        <w:t>Differences between accounting for financial statement purposes and accounting for tax purposes result in taxes currently payable being lower than the total provision for income taxes as follows:</w:t>
      </w:r>
    </w:p>
    <w:p>
      <w:pPr>
        <w:spacing w:after="0" w:line="346"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70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Excess of tax over book depreciation................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(3.2)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(40.0)</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Net restructuring spending..........................</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Tax credit utilization..............................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(89.1)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Other, net..........................................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29.0</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r>
      <w:tr>
        <w:trPr>
          <w:trHeight w:val="172"/>
        </w:trPr>
        <w:tc>
          <w:tcPr>
            <w:tcW w:w="470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$(56.4)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$(100.8)</w:t>
            </w:r>
          </w:p>
        </w:tc>
      </w:tr>
      <w:tr>
        <w:trPr>
          <w:trHeight w:val="172"/>
        </w:trPr>
        <w:tc>
          <w:tcPr>
            <w:tcW w:w="470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components of deferred tax assets (liabilities) are as follows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2000</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14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Deferred Taxes--</w:t>
            </w:r>
          </w:p>
        </w:tc>
        <w:tc>
          <w:tcPr>
            <w:tcW w:w="38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5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Accrued liabilities.....................................</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65.3</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69.5</w:t>
            </w:r>
          </w:p>
        </w:tc>
      </w:tr>
      <w:tr>
        <w:trPr>
          <w:trHeight w:val="172"/>
        </w:trPr>
        <w:tc>
          <w:tcPr>
            <w:tcW w:w="5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Restructuring...........................................</w:t>
            </w:r>
          </w:p>
        </w:tc>
        <w:tc>
          <w:tcPr>
            <w:tcW w:w="2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Other, net..............................................</w:t>
            </w:r>
          </w:p>
        </w:tc>
        <w:tc>
          <w:tcPr>
            <w:tcW w:w="2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39.7</w:t>
            </w:r>
          </w:p>
        </w:tc>
      </w:tr>
      <w:tr>
        <w:trPr>
          <w:trHeight w:val="172"/>
        </w:trPr>
        <w:tc>
          <w:tcPr>
            <w:tcW w:w="14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deferred taxes current............................</w:t>
            </w:r>
          </w:p>
        </w:tc>
        <w:tc>
          <w:tcPr>
            <w:tcW w:w="2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113.0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109.2</w:t>
            </w:r>
          </w:p>
        </w:tc>
      </w:tr>
      <w:tr>
        <w:trPr>
          <w:trHeight w:val="172"/>
        </w:trPr>
        <w:tc>
          <w:tcPr>
            <w:tcW w:w="14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Deferred Taxes--</w:t>
            </w:r>
          </w:p>
        </w:tc>
        <w:tc>
          <w:tcPr>
            <w:tcW w:w="3800" w:type="dxa"/>
            <w:vAlign w:val="bottom"/>
          </w:tcPr>
          <w:p>
            <w:pPr>
              <w:spacing w:after="0"/>
              <w:rPr>
                <w:sz w:val="20"/>
                <w:szCs w:val="20"/>
                <w:color w:val="auto"/>
              </w:rPr>
            </w:pPr>
            <w:r>
              <w:rPr>
                <w:rFonts w:ascii="Courier New" w:cs="Courier New" w:eastAsia="Courier New" w:hAnsi="Courier New"/>
                <w:sz w:val="15"/>
                <w:szCs w:val="15"/>
                <w:color w:val="auto"/>
              </w:rPr>
              <w:t>Long-term:</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Intangible assets.......................................</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(270.1)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(275.9)</w:t>
            </w:r>
          </w:p>
        </w:tc>
      </w:tr>
      <w:tr>
        <w:trPr>
          <w:trHeight w:val="172"/>
        </w:trPr>
        <w:tc>
          <w:tcPr>
            <w:tcW w:w="5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Property, plant and equipment...........................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(257.4)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(254.2)</w:t>
            </w:r>
          </w:p>
        </w:tc>
      </w:tr>
      <w:tr>
        <w:trPr>
          <w:trHeight w:val="172"/>
        </w:trPr>
        <w:tc>
          <w:tcPr>
            <w:tcW w:w="5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Postretirement benefits.................................</w:t>
            </w:r>
          </w:p>
        </w:tc>
        <w:tc>
          <w:tcPr>
            <w:tcW w:w="2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57.0</w:t>
            </w:r>
          </w:p>
        </w:tc>
      </w:tr>
      <w:tr>
        <w:trPr>
          <w:trHeight w:val="172"/>
        </w:trPr>
        <w:tc>
          <w:tcPr>
            <w:tcW w:w="5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Tax loss and tax credit carryforwards...................</w:t>
            </w:r>
          </w:p>
        </w:tc>
        <w:tc>
          <w:tcPr>
            <w:tcW w:w="2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81.4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140.4</w:t>
            </w:r>
          </w:p>
        </w:tc>
      </w:tr>
      <w:tr>
        <w:trPr>
          <w:trHeight w:val="172"/>
        </w:trPr>
        <w:tc>
          <w:tcPr>
            <w:tcW w:w="5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Other, net..............................................</w:t>
            </w:r>
          </w:p>
        </w:tc>
        <w:tc>
          <w:tcPr>
            <w:tcW w:w="2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71.1</w:t>
            </w:r>
          </w:p>
        </w:tc>
      </w:tr>
      <w:tr>
        <w:trPr>
          <w:trHeight w:val="172"/>
        </w:trPr>
        <w:tc>
          <w:tcPr>
            <w:tcW w:w="5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Valuation allowance.....................................</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(74.7)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(137.0)</w:t>
            </w:r>
          </w:p>
        </w:tc>
      </w:tr>
      <w:tr>
        <w:trPr>
          <w:trHeight w:val="172"/>
        </w:trPr>
        <w:tc>
          <w:tcPr>
            <w:tcW w:w="14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deferred taxes long-term..........................</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(447.3)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(398.6)</w:t>
            </w:r>
          </w:p>
        </w:tc>
      </w:tr>
      <w:tr>
        <w:trPr>
          <w:trHeight w:val="172"/>
        </w:trPr>
        <w:tc>
          <w:tcPr>
            <w:tcW w:w="14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deferred taxes....................................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(334.3)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$(289.4)</w:t>
            </w:r>
          </w:p>
        </w:tc>
      </w:tr>
      <w:tr>
        <w:trPr>
          <w:trHeight w:val="172"/>
        </w:trPr>
        <w:tc>
          <w:tcPr>
            <w:tcW w:w="14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1440" w:type="dxa"/>
            <w:vAlign w:val="bottom"/>
          </w:tcPr>
          <w:p>
            <w:pPr>
              <w:spacing w:after="0"/>
              <w:rPr>
                <w:sz w:val="24"/>
                <w:szCs w:val="24"/>
                <w:color w:val="auto"/>
              </w:rPr>
            </w:pPr>
          </w:p>
        </w:tc>
        <w:tc>
          <w:tcPr>
            <w:tcW w:w="3800" w:type="dxa"/>
            <w:vAlign w:val="bottom"/>
          </w:tcPr>
          <w:p>
            <w:pPr>
              <w:jc w:val="right"/>
              <w:ind w:right="1865"/>
              <w:spacing w:after="0"/>
              <w:rPr>
                <w:sz w:val="20"/>
                <w:szCs w:val="20"/>
                <w:color w:val="auto"/>
              </w:rPr>
            </w:pPr>
            <w:r>
              <w:rPr>
                <w:rFonts w:ascii="Courier New" w:cs="Courier New" w:eastAsia="Courier New" w:hAnsi="Courier New"/>
                <w:sz w:val="15"/>
                <w:szCs w:val="15"/>
                <w:color w:val="auto"/>
              </w:rPr>
              <w:t>32</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32" w:name="page33"/>
    <w:bookmarkEnd w:id="32"/>
    <w:p>
      <w:pPr>
        <w:jc w:val="center"/>
        <w:ind w:right="315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348"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major component of the 2000 and 1999 valuation allowance relates to tax benefits in certain jurisdictions not expected to be realized. The net change in the valuation allowance for deferred taxes resulted from tax credits utilized.</w:t>
      </w:r>
    </w:p>
    <w:p>
      <w:pPr>
        <w:spacing w:after="0" w:line="175" w:lineRule="exact"/>
        <w:rPr>
          <w:sz w:val="20"/>
          <w:szCs w:val="20"/>
          <w:color w:val="auto"/>
        </w:rPr>
      </w:pPr>
    </w:p>
    <w:p>
      <w:pPr>
        <w:ind w:right="3259" w:firstLine="268"/>
        <w:spacing w:after="0" w:line="263" w:lineRule="auto"/>
        <w:rPr>
          <w:sz w:val="20"/>
          <w:szCs w:val="20"/>
          <w:color w:val="auto"/>
        </w:rPr>
      </w:pPr>
      <w:r>
        <w:rPr>
          <w:rFonts w:ascii="Courier New" w:cs="Courier New" w:eastAsia="Courier New" w:hAnsi="Courier New"/>
          <w:sz w:val="14"/>
          <w:szCs w:val="14"/>
          <w:color w:val="auto"/>
        </w:rPr>
        <w:t>Applicable U.S. income and foreign withholding taxes have not been provided on approximately $752.0 of undistributed earnings of foreign subsidiaries at December 31, 2000. These earnings are currently considered to be permanently invested and are not subject to such taxes. Determining the tax liability that would arise if these earnings were remitted is not practicable.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Supplemental Income Statement Information</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Other Expense, Net</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$ 72.1</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$ 75.6</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$ 81.7</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Earnings from equity investments........................</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30.4</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28.1</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(50.2)</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(27.1)</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(43.3)</w:t>
            </w:r>
          </w:p>
        </w:tc>
      </w:tr>
      <w:tr>
        <w:trPr>
          <w:trHeight w:val="172"/>
        </w:trPr>
        <w:tc>
          <w:tcPr>
            <w:tcW w:w="51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1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$ 52.3</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$ 73.6</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$ 61.2</w:t>
            </w:r>
          </w:p>
        </w:tc>
      </w:tr>
      <w:tr>
        <w:trPr>
          <w:trHeight w:val="172"/>
        </w:trPr>
        <w:tc>
          <w:tcPr>
            <w:tcW w:w="51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Interest incurred.......................................</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$203.5</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$224.0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$216.8</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Interest capitalized....................................</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(26.4)</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(40.6)</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(31.6)</w:t>
            </w:r>
          </w:p>
        </w:tc>
      </w:tr>
      <w:tr>
        <w:trPr>
          <w:trHeight w:val="172"/>
        </w:trPr>
        <w:tc>
          <w:tcPr>
            <w:tcW w:w="51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1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$173.3</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$171.6</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$172.9</w:t>
            </w:r>
          </w:p>
        </w:tc>
      </w:tr>
      <w:tr>
        <w:trPr>
          <w:trHeight w:val="172"/>
        </w:trPr>
        <w:tc>
          <w:tcPr>
            <w:tcW w:w="51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$176.1</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$169.2</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$166.0</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Media advertising.......................................</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550.9</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575.6</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592.2</w:t>
            </w:r>
          </w:p>
        </w:tc>
      </w:tr>
      <w:tr>
        <w:trPr>
          <w:trHeight w:val="516"/>
        </w:trPr>
        <w:tc>
          <w:tcPr>
            <w:tcW w:w="5100" w:type="dxa"/>
            <w:vAlign w:val="bottom"/>
          </w:tcPr>
          <w:p>
            <w:pPr>
              <w:spacing w:after="0"/>
              <w:rPr>
                <w:sz w:val="20"/>
                <w:szCs w:val="20"/>
                <w:color w:val="auto"/>
              </w:rPr>
            </w:pPr>
            <w:r>
              <w:rPr>
                <w:rFonts w:ascii="Courier New" w:cs="Courier New" w:eastAsia="Courier New" w:hAnsi="Courier New"/>
                <w:sz w:val="15"/>
                <w:szCs w:val="15"/>
                <w:color w:val="auto"/>
              </w:rPr>
              <w:t>10. Supplemental Balance Sheet Information</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88"/>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70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w w:val="97"/>
              </w:rPr>
              <w:t>Raw materials and supplies........................................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$206.2</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$259.6</w:t>
            </w:r>
          </w:p>
        </w:tc>
      </w:tr>
      <w:tr>
        <w:trPr>
          <w:trHeight w:val="172"/>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w w:val="97"/>
              </w:rPr>
              <w:t>Work-in-process...................................................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w:t>
            </w:r>
          </w:p>
        </w:tc>
      </w:tr>
      <w:tr>
        <w:trPr>
          <w:trHeight w:val="172"/>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w w:val="97"/>
              </w:rPr>
              <w:t>Finished goods....................................................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449.7</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490.9</w:t>
            </w:r>
          </w:p>
        </w:tc>
      </w:tr>
      <w:tr>
        <w:trPr>
          <w:trHeight w:val="172"/>
        </w:trPr>
        <w:tc>
          <w:tcPr>
            <w:tcW w:w="5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w:t>
            </w:r>
          </w:p>
        </w:tc>
      </w:tr>
      <w:tr>
        <w:trPr>
          <w:trHeight w:val="172"/>
        </w:trPr>
        <w:tc>
          <w:tcPr>
            <w:tcW w:w="5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$686.6</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$783.7</w:t>
            </w:r>
          </w:p>
        </w:tc>
      </w:tr>
      <w:tr>
        <w:trPr>
          <w:trHeight w:val="172"/>
        </w:trPr>
        <w:tc>
          <w:tcPr>
            <w:tcW w:w="5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w:t>
            </w:r>
          </w:p>
        </w:tc>
      </w:tr>
    </w:tbl>
    <w:p>
      <w:pPr>
        <w:spacing w:after="0" w:line="348"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Inventories valued under LIFO amounted to $133.0 and $137.3 at December 31, 2000 and 1999, respectively. The excess of current cost over LIFO cost at the end of each year was $34.4 and $37.2, respectively. The liquidations of LIFO inventory quantities had no effect on income in 2000 and 1999, and increased income by $1.3 in 1998.</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3" w:right="1440" w:bottom="1440" w:gutter="0" w:footer="0" w:header="0"/>
        </w:sectPr>
      </w:pPr>
    </w:p>
    <w:bookmarkStart w:id="33" w:name="page34"/>
    <w:bookmarkEnd w:id="33"/>
    <w:p>
      <w:pPr>
        <w:jc w:val="center"/>
        <w:ind w:right="315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(Dollars in Millions Except Per Share Amounts)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60"/>
        </w:trPr>
        <w:tc>
          <w:tcPr>
            <w:tcW w:w="52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4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8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Land......................................................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128.4</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Buildings.................................................</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716.2</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708.0</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3,442.1</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3,329.6</w:t>
            </w:r>
          </w:p>
        </w:tc>
      </w:tr>
      <w:tr>
        <w:trPr>
          <w:trHeight w:val="172"/>
        </w:trPr>
        <w:tc>
          <w:tcPr>
            <w:tcW w:w="5220" w:type="dxa"/>
            <w:vAlign w:val="bottom"/>
          </w:tcPr>
          <w:p>
            <w:pPr>
              <w:spacing w:after="0"/>
              <w:rPr>
                <w:sz w:val="14"/>
                <w:szCs w:val="14"/>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4,287.3</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4,166.0</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Accumulated depreciation..................................</w:t>
            </w:r>
          </w:p>
        </w:tc>
        <w:tc>
          <w:tcPr>
            <w:tcW w:w="1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(1,759.0)</w:t>
            </w:r>
          </w:p>
        </w:tc>
        <w:tc>
          <w:tcPr>
            <w:tcW w:w="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(1,614.9)</w:t>
            </w:r>
          </w:p>
        </w:tc>
      </w:tr>
      <w:tr>
        <w:trPr>
          <w:trHeight w:val="172"/>
        </w:trPr>
        <w:tc>
          <w:tcPr>
            <w:tcW w:w="5220" w:type="dxa"/>
            <w:vAlign w:val="bottom"/>
          </w:tcPr>
          <w:p>
            <w:pPr>
              <w:spacing w:after="0"/>
              <w:rPr>
                <w:sz w:val="14"/>
                <w:szCs w:val="14"/>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20" w:type="dxa"/>
            <w:vAlign w:val="bottom"/>
          </w:tcPr>
          <w:p>
            <w:pPr>
              <w:spacing w:after="0"/>
              <w:rPr>
                <w:sz w:val="14"/>
                <w:szCs w:val="14"/>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$ 2,528.3</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$ 2,551.1</w:t>
            </w:r>
          </w:p>
        </w:tc>
      </w:tr>
      <w:tr>
        <w:trPr>
          <w:trHeight w:val="172"/>
        </w:trPr>
        <w:tc>
          <w:tcPr>
            <w:tcW w:w="5220" w:type="dxa"/>
            <w:vAlign w:val="bottom"/>
          </w:tcPr>
          <w:p>
            <w:pPr>
              <w:spacing w:after="0"/>
              <w:rPr>
                <w:sz w:val="14"/>
                <w:szCs w:val="14"/>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22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14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8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Goodwill and other intangibles............................</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$ 2,747.4</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$ 2,764.3</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Accumulated amortization..................................</w:t>
            </w:r>
          </w:p>
        </w:tc>
        <w:tc>
          <w:tcPr>
            <w:tcW w:w="1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(651.0)</w:t>
            </w:r>
          </w:p>
        </w:tc>
        <w:tc>
          <w:tcPr>
            <w:tcW w:w="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(578.9)</w:t>
            </w:r>
          </w:p>
        </w:tc>
      </w:tr>
      <w:tr>
        <w:trPr>
          <w:trHeight w:val="172"/>
        </w:trPr>
        <w:tc>
          <w:tcPr>
            <w:tcW w:w="5220" w:type="dxa"/>
            <w:vAlign w:val="bottom"/>
          </w:tcPr>
          <w:p>
            <w:pPr>
              <w:spacing w:after="0"/>
              <w:rPr>
                <w:sz w:val="14"/>
                <w:szCs w:val="14"/>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20" w:type="dxa"/>
            <w:vAlign w:val="bottom"/>
          </w:tcPr>
          <w:p>
            <w:pPr>
              <w:spacing w:after="0"/>
              <w:rPr>
                <w:sz w:val="14"/>
                <w:szCs w:val="14"/>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$ 2,096.4</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$ 2,185.4</w:t>
            </w:r>
          </w:p>
        </w:tc>
      </w:tr>
      <w:tr>
        <w:trPr>
          <w:trHeight w:val="172"/>
        </w:trPr>
        <w:tc>
          <w:tcPr>
            <w:tcW w:w="5220" w:type="dxa"/>
            <w:vAlign w:val="bottom"/>
          </w:tcPr>
          <w:p>
            <w:pPr>
              <w:spacing w:after="0"/>
              <w:rPr>
                <w:sz w:val="14"/>
                <w:szCs w:val="14"/>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220" w:type="dxa"/>
            <w:vAlign w:val="bottom"/>
          </w:tcPr>
          <w:p>
            <w:pPr>
              <w:spacing w:after="0"/>
              <w:rPr>
                <w:sz w:val="20"/>
                <w:szCs w:val="20"/>
                <w:color w:val="auto"/>
              </w:rPr>
            </w:pPr>
            <w:r>
              <w:rPr>
                <w:rFonts w:ascii="Courier New" w:cs="Courier New" w:eastAsia="Courier New" w:hAnsi="Courier New"/>
                <w:sz w:val="15"/>
                <w:szCs w:val="15"/>
                <w:color w:val="auto"/>
              </w:rPr>
              <w:t>Other Accruals</w:t>
            </w:r>
          </w:p>
        </w:tc>
        <w:tc>
          <w:tcPr>
            <w:tcW w:w="14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8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Accrued payroll and employee benefits.....................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286.9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341.4</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Accrued advertising.......................................</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267.1</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268.3</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Accrued interest..........................................</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53.0</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52.5</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Accrued taxes other than income taxes.....................</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69.9</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52.8</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Restructuring accrual.....................................</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216.1</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125.5</w:t>
            </w:r>
          </w:p>
        </w:tc>
      </w:tr>
      <w:tr>
        <w:trPr>
          <w:trHeight w:val="172"/>
        </w:trPr>
        <w:tc>
          <w:tcPr>
            <w:tcW w:w="5220" w:type="dxa"/>
            <w:vAlign w:val="bottom"/>
          </w:tcPr>
          <w:p>
            <w:pPr>
              <w:spacing w:after="0"/>
              <w:rPr>
                <w:sz w:val="14"/>
                <w:szCs w:val="14"/>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900.2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845.9</w:t>
            </w:r>
          </w:p>
        </w:tc>
      </w:tr>
      <w:tr>
        <w:trPr>
          <w:trHeight w:val="172"/>
        </w:trPr>
        <w:tc>
          <w:tcPr>
            <w:tcW w:w="5220" w:type="dxa"/>
            <w:vAlign w:val="bottom"/>
          </w:tcPr>
          <w:p>
            <w:pPr>
              <w:spacing w:after="0"/>
              <w:rPr>
                <w:sz w:val="14"/>
                <w:szCs w:val="14"/>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2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4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8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Minority interest.........................................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226.3</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Pension and other benefits................................</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380.8</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381.8</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57.9</w:t>
            </w:r>
          </w:p>
        </w:tc>
        <w:tc>
          <w:tcPr>
            <w:tcW w:w="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65.9</w:t>
            </w:r>
          </w:p>
        </w:tc>
      </w:tr>
      <w:tr>
        <w:trPr>
          <w:trHeight w:val="172"/>
        </w:trPr>
        <w:tc>
          <w:tcPr>
            <w:tcW w:w="5220" w:type="dxa"/>
            <w:vAlign w:val="bottom"/>
          </w:tcPr>
          <w:p>
            <w:pPr>
              <w:spacing w:after="0"/>
              <w:rPr>
                <w:sz w:val="14"/>
                <w:szCs w:val="14"/>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555.9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674.0</w:t>
            </w:r>
          </w:p>
        </w:tc>
      </w:tr>
      <w:tr>
        <w:trPr>
          <w:trHeight w:val="172"/>
        </w:trPr>
        <w:tc>
          <w:tcPr>
            <w:tcW w:w="5220" w:type="dxa"/>
            <w:vAlign w:val="bottom"/>
          </w:tcPr>
          <w:p>
            <w:pPr>
              <w:spacing w:after="0"/>
              <w:rPr>
                <w:sz w:val="14"/>
                <w:szCs w:val="14"/>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Fair Value of Financial Instruments</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Company utilizes interest rate swap contracts and foreign currency exchange contracts to manage interest rate and foreign currency exposures. (See Management's Discussion and Analysis--Managing Foreign Currency and Interest Rate Exposure for further discussion.) In assessing the fair value of financial instruments at December 31, 2000 and 1999, the Company has used available market information and other valuation methodologies. Some judgment is necessarily required in interpreting market data to develop the estimates of fair value, and, accordingly, the estimates are not necessarily indicative of the amounts that the Company could realize in a current market exchange.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3" w:right="1440" w:bottom="1440" w:gutter="0" w:footer="0" w:header="0"/>
        </w:sectPr>
      </w:pPr>
    </w:p>
    <w:bookmarkStart w:id="34" w:name="page35"/>
    <w:bookmarkEnd w:id="34"/>
    <w:p>
      <w:pPr>
        <w:jc w:val="center"/>
        <w:ind w:right="315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348" w:lineRule="exact"/>
        <w:rPr>
          <w:sz w:val="20"/>
          <w:szCs w:val="20"/>
          <w:color w:val="auto"/>
        </w:rPr>
      </w:pPr>
    </w:p>
    <w:p>
      <w:pPr>
        <w:ind w:right="3439" w:firstLine="268"/>
        <w:spacing w:after="0" w:line="265" w:lineRule="auto"/>
        <w:rPr>
          <w:sz w:val="20"/>
          <w:szCs w:val="20"/>
          <w:color w:val="auto"/>
        </w:rPr>
      </w:pPr>
      <w:r>
        <w:rPr>
          <w:rFonts w:ascii="Courier New" w:cs="Courier New" w:eastAsia="Courier New" w:hAnsi="Courier New"/>
          <w:sz w:val="14"/>
          <w:szCs w:val="14"/>
          <w:color w:val="auto"/>
        </w:rPr>
        <w:t>The carrying amounts of cash and cash equivalents, marketable securities, long-term investments and short-term debt approximated fair value as of December 31, 2000 and 1999. The estimated fair value of the Company's remaining financial instruments at December 31 are summarized as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spacing w:after="0"/>
              <w:rPr>
                <w:sz w:val="14"/>
                <w:szCs w:val="14"/>
                <w:color w:val="auto"/>
              </w:rPr>
            </w:pPr>
          </w:p>
        </w:tc>
      </w:tr>
      <w:tr>
        <w:trPr>
          <w:trHeight w:val="172"/>
        </w:trPr>
        <w:tc>
          <w:tcPr>
            <w:tcW w:w="3160" w:type="dxa"/>
            <w:vAlign w:val="bottom"/>
          </w:tcPr>
          <w:p>
            <w:pPr>
              <w:spacing w:after="0"/>
              <w:rPr>
                <w:sz w:val="14"/>
                <w:szCs w:val="14"/>
                <w:color w:val="auto"/>
              </w:rPr>
            </w:pPr>
          </w:p>
        </w:tc>
        <w:tc>
          <w:tcPr>
            <w:tcW w:w="1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16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Carrying</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Fair</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Carrying</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Fair</w:t>
            </w:r>
          </w:p>
        </w:tc>
      </w:tr>
      <w:tr>
        <w:trPr>
          <w:trHeight w:val="172"/>
        </w:trPr>
        <w:tc>
          <w:tcPr>
            <w:tcW w:w="316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Amount</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Value</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Amount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31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3160" w:type="dxa"/>
            <w:vAlign w:val="bottom"/>
          </w:tcPr>
          <w:p>
            <w:pPr>
              <w:spacing w:after="0"/>
              <w:rPr>
                <w:sz w:val="20"/>
                <w:szCs w:val="20"/>
                <w:color w:val="auto"/>
              </w:rPr>
            </w:pPr>
            <w:r>
              <w:rPr>
                <w:rFonts w:ascii="Courier New" w:cs="Courier New" w:eastAsia="Courier New" w:hAnsi="Courier New"/>
                <w:sz w:val="15"/>
                <w:szCs w:val="15"/>
                <w:color w:val="auto"/>
              </w:rPr>
              <w:t>(Liabilities)/Assets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w w:val="99"/>
              </w:rPr>
              <w:t>Long-term debt, including current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w w:val="99"/>
              </w:rPr>
              <w:t>portion.........................</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$(2,857.1)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$(2,906.6)</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$(2,582.2)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$(2,616.5)</w:t>
            </w:r>
          </w:p>
        </w:tc>
      </w:tr>
      <w:tr>
        <w:trPr>
          <w:trHeight w:val="172"/>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(including foreign exchange</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contracts)</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160" w:type="dxa"/>
            <w:vAlign w:val="bottom"/>
          </w:tcPr>
          <w:p>
            <w:pPr>
              <w:spacing w:after="0"/>
              <w:rPr>
                <w:sz w:val="20"/>
                <w:szCs w:val="20"/>
                <w:color w:val="auto"/>
              </w:rPr>
            </w:pPr>
            <w:r>
              <w:rPr>
                <w:rFonts w:ascii="Courier New" w:cs="Courier New" w:eastAsia="Courier New" w:hAnsi="Courier New"/>
                <w:sz w:val="15"/>
                <w:szCs w:val="15"/>
                <w:color w:val="auto"/>
              </w:rPr>
              <w:t>Other (liabilities)/assets:</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w w:val="99"/>
              </w:rPr>
              <w:t>Interest rate contracts..........</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2"/>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w w:val="99"/>
              </w:rPr>
              <w:t>Foreign exchange contracts.......</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2"/>
        </w:trPr>
        <w:tc>
          <w:tcPr>
            <w:tcW w:w="316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w w:val="99"/>
              </w:rPr>
              <w:t>Foreign exchange contracts.......</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w:t>
            </w:r>
          </w:p>
        </w:tc>
      </w:tr>
      <w:tr>
        <w:trPr>
          <w:trHeight w:val="172"/>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(to hedge investment in</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subsidiaries)</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348" w:lineRule="exact"/>
        <w:rPr>
          <w:sz w:val="20"/>
          <w:szCs w:val="20"/>
          <w:color w:val="auto"/>
        </w:rPr>
      </w:pPr>
    </w:p>
    <w:p>
      <w:pPr>
        <w:ind w:right="3339" w:firstLine="268"/>
        <w:spacing w:after="0" w:line="241" w:lineRule="auto"/>
        <w:rPr>
          <w:sz w:val="20"/>
          <w:szCs w:val="20"/>
          <w:color w:val="auto"/>
        </w:rPr>
      </w:pPr>
      <w:r>
        <w:rPr>
          <w:rFonts w:ascii="Courier New" w:cs="Courier New" w:eastAsia="Courier New" w:hAnsi="Courier New"/>
          <w:sz w:val="15"/>
          <w:szCs w:val="15"/>
          <w:color w:val="auto"/>
        </w:rPr>
        <w:t>As of December 31, 2000 and 1999, the Company had interest rate agreements outstanding with an aggregate notional amount of $824.6 and $965.9, respectively, with maturities through 2018.</w:t>
      </w:r>
    </w:p>
    <w:p>
      <w:pPr>
        <w:spacing w:after="0" w:line="176" w:lineRule="exact"/>
        <w:rPr>
          <w:sz w:val="20"/>
          <w:szCs w:val="20"/>
          <w:color w:val="auto"/>
        </w:rPr>
      </w:pPr>
    </w:p>
    <w:p>
      <w:pPr>
        <w:ind w:right="3259" w:firstLine="268"/>
        <w:spacing w:after="0" w:line="263" w:lineRule="auto"/>
        <w:rPr>
          <w:sz w:val="20"/>
          <w:szCs w:val="20"/>
          <w:color w:val="auto"/>
        </w:rPr>
      </w:pPr>
      <w:r>
        <w:rPr>
          <w:rFonts w:ascii="Courier New" w:cs="Courier New" w:eastAsia="Courier New" w:hAnsi="Courier New"/>
          <w:sz w:val="14"/>
          <w:szCs w:val="14"/>
          <w:color w:val="auto"/>
        </w:rPr>
        <w:t>As of December 31, 2000 and 1999, the Company had approximately $728.6 and $431.6, respectively, of outstanding foreign exchange contracts. At December 31, 2000, approximately 3% of outstanding foreign exchange contracts served to hedge net investments in foreign subsidiaries, 35% hedged intercompany loans, 35% hedged third-party debt and other firm commitments, and 27% represented contracts used to redenominate foreign-currency debt into U.S. dollars.</w:t>
      </w:r>
    </w:p>
    <w:p>
      <w:pPr>
        <w:spacing w:after="0" w:line="161"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The Company is exposed to credit loss in the event of nonperformance by counterparties on interest rate agreements and foreign exchange contracts; however, nonperformance by these counterparties is considered remote as it is the Company's policy to contract with diversified counterparties that have a long-term debt rating of A or higher.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Restructured Operations</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In September 1995, a reserve of $460.5 was established to cover a worldwide restructuring of manufacturing and administrative operations. The cost of completing the restructuring activities approximated the original estimate. The planned restructuring projects, primarily in North America and Europe but also affecting Hill's Pet Nutrition and Colgate locations in Asia/Africa and certain Latin America locations, were completed as of December 31, 2000. As planned, the restructuring has produced savings that increase pretax earnings by over $150.0 annually.</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3" w:right="1440" w:bottom="1440" w:gutter="0" w:footer="0" w:header="0"/>
        </w:sectPr>
      </w:pPr>
    </w:p>
    <w:bookmarkStart w:id="35" w:name="page36"/>
    <w:bookmarkEnd w:id="35"/>
    <w:p>
      <w:pPr>
        <w:jc w:val="center"/>
        <w:ind w:right="315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34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 summary of the changes in the restructuring reserve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Manufacturing</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Contractual</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Workforce</w:t>
            </w: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Plants</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Settlements</w:t>
            </w:r>
          </w:p>
        </w:tc>
        <w:tc>
          <w:tcPr>
            <w:tcW w:w="14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Total</w:t>
            </w:r>
          </w:p>
        </w:tc>
      </w:tr>
      <w:tr>
        <w:trPr>
          <w:trHeight w:val="172"/>
        </w:trPr>
        <w:tc>
          <w:tcPr>
            <w:tcW w:w="4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Original reserve...................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210.0</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$ 204.1</w:t>
            </w:r>
          </w:p>
        </w:tc>
        <w:tc>
          <w:tcPr>
            <w:tcW w:w="10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$ 46.4</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$ 460.5</w:t>
            </w:r>
          </w:p>
        </w:tc>
      </w:tr>
      <w:tr>
        <w:trPr>
          <w:trHeight w:val="172"/>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Charges prior to 1998..............</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(142.6)</w:t>
            </w:r>
          </w:p>
        </w:tc>
        <w:tc>
          <w:tcPr>
            <w:tcW w:w="4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(173.8)</w:t>
            </w:r>
          </w:p>
        </w:tc>
        <w:tc>
          <w:tcPr>
            <w:tcW w:w="30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(44.9)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(361.3)</w:t>
            </w:r>
          </w:p>
        </w:tc>
      </w:tr>
      <w:tr>
        <w:trPr>
          <w:trHeight w:val="172"/>
        </w:trPr>
        <w:tc>
          <w:tcPr>
            <w:tcW w:w="4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w w:val="99"/>
              </w:rPr>
              <w:t>charges.......................</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c>
          <w:tcPr>
            <w:tcW w:w="4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w:t>
            </w:r>
          </w:p>
        </w:tc>
        <w:tc>
          <w:tcPr>
            <w:tcW w:w="30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(59.6)</w:t>
            </w:r>
          </w:p>
        </w:tc>
      </w:tr>
      <w:tr>
        <w:trPr>
          <w:trHeight w:val="172"/>
        </w:trPr>
        <w:tc>
          <w:tcPr>
            <w:tcW w:w="4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w w:val="99"/>
              </w:rPr>
              <w:t>charges.......................</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c>
          <w:tcPr>
            <w:tcW w:w="4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w:t>
            </w:r>
          </w:p>
        </w:tc>
        <w:tc>
          <w:tcPr>
            <w:tcW w:w="30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(34.2)</w:t>
            </w:r>
          </w:p>
        </w:tc>
      </w:tr>
      <w:tr>
        <w:trPr>
          <w:trHeight w:val="172"/>
        </w:trPr>
        <w:tc>
          <w:tcPr>
            <w:tcW w:w="4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 at December 31, 1999.......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w:t>
            </w:r>
          </w:p>
        </w:tc>
      </w:tr>
      <w:tr>
        <w:trPr>
          <w:trHeight w:val="172"/>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w w:val="99"/>
              </w:rPr>
              <w:t>charges.......................</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40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2"/>
        </w:trPr>
        <w:tc>
          <w:tcPr>
            <w:tcW w:w="4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 at December 31, 2000.......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The headcount reductions resulting from the restructuring projects totaled 4,869. Factory closures and/or reconfigurations totaled 25. The headcount and factory totals were increased by 727 and 1, respectively, as a result of refinements of original estimates.</w:t>
      </w:r>
    </w:p>
    <w:p>
      <w:pPr>
        <w:spacing w:after="0" w:line="175"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In December 2000 the Company recorded a charge of $63.9 ($42.5 aftertax) associated with the realignment of three manufacturing locations in Latin America and the exiting of our business in Nigeria. The charge, recorded in Other expense, net, included $14.2 for termination costs and $49.7 for exiting of manufacturing operations. At December 31, 2000, the remaining reserve of $7.2 is classified as a current liability representing termination costs for 979 employees to be paid during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242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For the Year Ended 2000</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For the</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 Ended 1999</w:t>
            </w:r>
          </w:p>
        </w:tc>
        <w:tc>
          <w:tcPr>
            <w:tcW w:w="21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For the Year Ended 1998</w:t>
            </w:r>
          </w:p>
        </w:tc>
      </w:tr>
      <w:tr>
        <w:trPr>
          <w:trHeight w:val="172"/>
        </w:trPr>
        <w:tc>
          <w:tcPr>
            <w:tcW w:w="218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c>
          <w:tcPr>
            <w:tcW w:w="21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18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Income</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Shares Per Share</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Shares Per Share</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Shares Per Share</w:t>
            </w:r>
          </w:p>
        </w:tc>
      </w:tr>
      <w:tr>
        <w:trPr>
          <w:trHeight w:val="172"/>
        </w:trPr>
        <w:tc>
          <w:tcPr>
            <w:tcW w:w="218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$1,063.8</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$937.3</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$848.6</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w w:val="99"/>
              </w:rPr>
              <w:t>Preferred dividends.....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(20.9)</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w w:val="99"/>
              </w:rPr>
              <w:t>Basic EPS...............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1,043.1</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574.9</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$1.81</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916.3</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583.1</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827.7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590.0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w:t>
            </w:r>
          </w:p>
        </w:tc>
      </w:tr>
      <w:tr>
        <w:trPr>
          <w:trHeight w:val="172"/>
        </w:trPr>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w w:val="99"/>
              </w:rPr>
              <w:t>Stock options...........</w:t>
            </w:r>
          </w:p>
        </w:tc>
        <w:tc>
          <w:tcPr>
            <w:tcW w:w="90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w:t>
            </w: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w:t>
            </w:r>
          </w:p>
        </w:tc>
        <w:tc>
          <w:tcPr>
            <w:tcW w:w="800" w:type="dxa"/>
            <w:vAlign w:val="bottom"/>
          </w:tcPr>
          <w:p>
            <w:pPr>
              <w:spacing w:after="0"/>
              <w:rPr>
                <w:sz w:val="14"/>
                <w:szCs w:val="14"/>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w w:val="99"/>
              </w:rPr>
              <w:t>ESOP conversion.........</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20.3</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42.6</w:t>
            </w:r>
          </w:p>
        </w:tc>
        <w:tc>
          <w:tcPr>
            <w:tcW w:w="8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19.7</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44.0</w:t>
            </w:r>
          </w:p>
        </w:tc>
        <w:tc>
          <w:tcPr>
            <w:tcW w:w="860" w:type="dxa"/>
            <w:vAlign w:val="bottom"/>
          </w:tcPr>
          <w:p>
            <w:pPr>
              <w:spacing w:after="0"/>
              <w:rPr>
                <w:sz w:val="14"/>
                <w:szCs w:val="14"/>
                <w:color w:val="auto"/>
              </w:rPr>
            </w:pP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44.8</w:t>
            </w:r>
          </w:p>
        </w:tc>
        <w:tc>
          <w:tcPr>
            <w:tcW w:w="80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w w:val="99"/>
              </w:rPr>
              <w:t>Diluted EPS.............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$1,063.4</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627.3</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$936.0</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638.8</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$1.47</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$846.1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648.4</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w:t>
            </w:r>
          </w:p>
        </w:tc>
      </w:tr>
      <w:tr>
        <w:trPr>
          <w:trHeight w:val="172"/>
        </w:trPr>
        <w:tc>
          <w:tcPr>
            <w:tcW w:w="218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Commitments and Contingencies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Minimum rental commitments under noncancellable operating leases, primarily for office and warehouse facilities, are $70.3 in 2001, $63.9 in 2002, $55.1 in 2003, $47.2 in 2004, $44.6 in 2005 and $57.1 thereafter. Rental expense amounted to $90.6 in 2000, $102.4 in 1999 and $102.7 in 1998. Contingent rentals, sublease income and capital leases, which are included in fixed assets, are not significant.</w:t>
      </w:r>
    </w:p>
    <w:p>
      <w:pPr>
        <w:spacing w:after="0" w:line="176" w:lineRule="exact"/>
        <w:rPr>
          <w:sz w:val="20"/>
          <w:szCs w:val="20"/>
          <w:color w:val="auto"/>
        </w:rPr>
      </w:pPr>
    </w:p>
    <w:p>
      <w:pPr>
        <w:ind w:right="3439" w:firstLine="179"/>
        <w:spacing w:after="0"/>
        <w:rPr>
          <w:sz w:val="20"/>
          <w:szCs w:val="20"/>
          <w:color w:val="auto"/>
        </w:rPr>
      </w:pPr>
      <w:r>
        <w:rPr>
          <w:rFonts w:ascii="Courier New" w:cs="Courier New" w:eastAsia="Courier New" w:hAnsi="Courier New"/>
          <w:sz w:val="15"/>
          <w:szCs w:val="15"/>
          <w:color w:val="auto"/>
        </w:rPr>
        <w:t>The Company has various contractual commitments to purchase raw materials, products and services totaling $137.9 that expire through 2003.</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is a party to various superfund and other environmental matters and is contingently liable with respect to lawsuits, taxes and other matters arising out of the normal course of business. Management proactively reviews and manages its exposure to, and the impact of, environmental matters and other contingencies.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3" w:right="1440" w:bottom="1440" w:gutter="0" w:footer="0" w:header="0"/>
        </w:sectPr>
      </w:pPr>
    </w:p>
    <w:bookmarkStart w:id="36" w:name="page37"/>
    <w:bookmarkEnd w:id="36"/>
    <w:p>
      <w:pPr>
        <w:jc w:val="center"/>
        <w:ind w:right="315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1995, the Company acquired the Kolynos oral care business from American Home Products, as described in the Company's Form 8-K dated January 10, 1995. On September 8, 1998, the Company's Brazilian subsidiary received notice of an administrative proceeding from the Central Bank of Brazil primarily taking issue with certain filings made with the Central Bank in connection with the financing of this strategic transaction, but in no way challenging or seeking to unwind the acquisition. The Central Bank of Brazil in January 2001 notified the Company of its decision and imposed a fine which has subsequently been appealed. During the appeal, the imposition of the fine is suspended. Further appeals are available within the Brazilian federal courts. Management believes, based on the opinion of its Brazilian legal counsel and other experts, that the filings challenged by the Central Bank fully complied with Brazilian law. The Company intends to challenge this fine vigorously and believes that ultimately it will prevail on appeal.</w:t>
      </w:r>
    </w:p>
    <w:p>
      <w:pPr>
        <w:spacing w:after="0" w:line="182" w:lineRule="exact"/>
        <w:rPr>
          <w:sz w:val="20"/>
          <w:szCs w:val="20"/>
          <w:color w:val="auto"/>
        </w:rPr>
      </w:pPr>
    </w:p>
    <w:p>
      <w:pPr>
        <w:ind w:right="3259" w:firstLine="179"/>
        <w:spacing w:after="0" w:line="263" w:lineRule="auto"/>
        <w:rPr>
          <w:sz w:val="20"/>
          <w:szCs w:val="20"/>
          <w:color w:val="auto"/>
        </w:rPr>
      </w:pPr>
      <w:r>
        <w:rPr>
          <w:rFonts w:ascii="Courier New" w:cs="Courier New" w:eastAsia="Courier New" w:hAnsi="Courier New"/>
          <w:sz w:val="14"/>
          <w:szCs w:val="14"/>
          <w:color w:val="auto"/>
        </w:rPr>
        <w:t>While it is possible that the Company's cash flows and results of operations in particular quarterly or annual periods could be affected by the one-time impacts of the resolution of the above contingencies, it is the opinion of management that the ultimate disposition of these matters, to the extent not previously provided for, will not have a material impact on the Company's financial condition or ongoing cash flows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Quarterly Financial Data (Unaudited)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First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Second</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Third</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Fourth</w:t>
            </w:r>
          </w:p>
        </w:tc>
      </w:tr>
      <w:tr>
        <w:trPr>
          <w:trHeight w:val="172"/>
        </w:trPr>
        <w:tc>
          <w:tcPr>
            <w:tcW w:w="3400" w:type="dxa"/>
            <w:vAlign w:val="bottom"/>
          </w:tcPr>
          <w:p>
            <w:pPr>
              <w:spacing w:after="0"/>
              <w:rPr>
                <w:sz w:val="14"/>
                <w:szCs w:val="14"/>
                <w:color w:val="auto"/>
              </w:rPr>
            </w:pPr>
          </w:p>
        </w:tc>
        <w:tc>
          <w:tcPr>
            <w:tcW w:w="12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Quarter</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Quarter</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Quarter</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Quarter</w:t>
            </w:r>
          </w:p>
        </w:tc>
      </w:tr>
      <w:tr>
        <w:trPr>
          <w:trHeight w:val="172"/>
        </w:trPr>
        <w:tc>
          <w:tcPr>
            <w:tcW w:w="3400" w:type="dxa"/>
            <w:vAlign w:val="bottom"/>
          </w:tcPr>
          <w:p>
            <w:pPr>
              <w:spacing w:after="0"/>
              <w:rPr>
                <w:sz w:val="14"/>
                <w:szCs w:val="14"/>
                <w:color w:val="auto"/>
              </w:rPr>
            </w:pPr>
          </w:p>
        </w:tc>
        <w:tc>
          <w:tcPr>
            <w:tcW w:w="36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7"/>
              </w:rPr>
              <w:t>Net sales..................................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$2,241.8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$2,336.7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$2,366.5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$2,412.9</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7"/>
              </w:rPr>
              <w:t>Gross profit...............................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1,221.2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1,270.9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1,293.5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1,306.8</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7"/>
              </w:rPr>
              <w:t>Net income.................................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239.9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261.9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275.3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286.7</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w w:val="86"/>
              </w:rPr>
              <w:t>Basic....................................</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w w:val="86"/>
              </w:rPr>
              <w:t>Diluted..................................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7"/>
              </w:rPr>
              <w:t>Net sales..................................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$2,175.3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$2,285.0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$2,314.0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$2,343.9</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7"/>
              </w:rPr>
              <w:t>Gross profit...............................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1,165.9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1,221.3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1,253.6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1,253.4</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7"/>
              </w:rPr>
              <w:t>Net income.................................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208.9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228.1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239.7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260.6</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w w:val="86"/>
              </w:rPr>
              <w:t>Basic....................................</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w w:val="86"/>
              </w:rPr>
              <w:t>Diluted..................................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516"/>
        </w:trPr>
        <w:tc>
          <w:tcPr>
            <w:tcW w:w="3400" w:type="dxa"/>
            <w:vAlign w:val="bottom"/>
          </w:tcPr>
          <w:p>
            <w:pPr>
              <w:spacing w:after="0"/>
              <w:rPr>
                <w:sz w:val="24"/>
                <w:szCs w:val="24"/>
                <w:color w:val="auto"/>
              </w:rPr>
            </w:pPr>
          </w:p>
        </w:tc>
        <w:tc>
          <w:tcPr>
            <w:tcW w:w="1280" w:type="dxa"/>
            <w:vAlign w:val="bottom"/>
          </w:tcPr>
          <w:p>
            <w:pPr>
              <w:jc w:val="right"/>
              <w:ind w:right="1045"/>
              <w:spacing w:after="0"/>
              <w:rPr>
                <w:sz w:val="20"/>
                <w:szCs w:val="20"/>
                <w:color w:val="auto"/>
              </w:rPr>
            </w:pPr>
            <w:r>
              <w:rPr>
                <w:rFonts w:ascii="Courier New" w:cs="Courier New" w:eastAsia="Courier New" w:hAnsi="Courier New"/>
                <w:sz w:val="15"/>
                <w:szCs w:val="15"/>
                <w:color w:val="auto"/>
                <w:w w:val="77"/>
              </w:rPr>
              <w:t>37</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37" w:name="page38"/>
    <w:bookmarkEnd w:id="37"/>
    <w:p>
      <w:pPr>
        <w:jc w:val="center"/>
        <w:ind w:right="315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Market and Dividend Information</w:t>
      </w:r>
    </w:p>
    <w:p>
      <w:pPr>
        <w:spacing w:after="0" w:line="200" w:lineRule="exact"/>
        <w:rPr>
          <w:sz w:val="20"/>
          <w:szCs w:val="20"/>
          <w:color w:val="auto"/>
        </w:rPr>
      </w:pPr>
    </w:p>
    <w:p>
      <w:pPr>
        <w:spacing w:after="0" w:line="320"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Company's common stock and $4.25 Preferred Stock are listed on the New York Stock Exchange. The trading symbol for the common stock is CL. Dividends on the common stock have been paid every year since 1895 and the amount of dividends paid per share has increased for 38 consecutive years.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Market Price</w:t>
            </w:r>
          </w:p>
        </w:tc>
        <w:tc>
          <w:tcPr>
            <w:tcW w:w="54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Common Stock</w:t>
            </w:r>
          </w:p>
        </w:tc>
        <w:tc>
          <w:tcPr>
            <w:tcW w:w="680" w:type="dxa"/>
            <w:vAlign w:val="bottom"/>
          </w:tcPr>
          <w:p>
            <w:pPr>
              <w:spacing w:after="0"/>
              <w:rPr>
                <w:sz w:val="14"/>
                <w:szCs w:val="14"/>
                <w:color w:val="auto"/>
              </w:rPr>
            </w:pPr>
          </w:p>
        </w:tc>
        <w:tc>
          <w:tcPr>
            <w:tcW w:w="2640" w:type="dxa"/>
            <w:vAlign w:val="bottom"/>
            <w:gridSpan w:val="4"/>
          </w:tcPr>
          <w:p>
            <w:pPr>
              <w:ind w:left="320"/>
              <w:spacing w:after="0"/>
              <w:rPr>
                <w:sz w:val="20"/>
                <w:szCs w:val="20"/>
                <w:color w:val="auto"/>
              </w:rPr>
            </w:pPr>
            <w:r>
              <w:rPr>
                <w:rFonts w:ascii="Courier New" w:cs="Courier New" w:eastAsia="Courier New" w:hAnsi="Courier New"/>
                <w:sz w:val="15"/>
                <w:szCs w:val="15"/>
                <w:color w:val="auto"/>
              </w:rPr>
              <w:t>$4.25 Preferred Stock</w:t>
            </w:r>
          </w:p>
        </w:tc>
      </w:tr>
      <w:tr>
        <w:trPr>
          <w:trHeight w:val="172"/>
        </w:trPr>
        <w:tc>
          <w:tcPr>
            <w:tcW w:w="2140" w:type="dxa"/>
            <w:vAlign w:val="bottom"/>
          </w:tcPr>
          <w:p>
            <w:pPr>
              <w:spacing w:after="0"/>
              <w:rPr>
                <w:sz w:val="14"/>
                <w:szCs w:val="14"/>
                <w:color w:val="auto"/>
              </w:rPr>
            </w:pPr>
          </w:p>
        </w:tc>
        <w:tc>
          <w:tcPr>
            <w:tcW w:w="5100" w:type="dxa"/>
            <w:vAlign w:val="bottom"/>
            <w:gridSpan w:val="8"/>
          </w:tcPr>
          <w:p>
            <w:pPr>
              <w:jc w:val="right"/>
              <w:ind w:right="105"/>
              <w:spacing w:after="0"/>
              <w:rPr>
                <w:sz w:val="20"/>
                <w:szCs w:val="20"/>
                <w:color w:val="auto"/>
              </w:rPr>
            </w:pPr>
            <w:r>
              <w:rPr>
                <w:rFonts w:ascii="Courier New" w:cs="Courier New" w:eastAsia="Courier New" w:hAnsi="Courier New"/>
                <w:sz w:val="15"/>
                <w:szCs w:val="15"/>
                <w:color w:val="auto"/>
                <w:w w:val="98"/>
              </w:rPr>
              <w:t>--------------------------- ---------------------------</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Quarter Ended</w:t>
            </w:r>
          </w:p>
        </w:tc>
        <w:tc>
          <w:tcPr>
            <w:tcW w:w="120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2000</w:t>
            </w:r>
          </w:p>
        </w:tc>
        <w:tc>
          <w:tcPr>
            <w:tcW w:w="12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1999</w:t>
            </w:r>
          </w:p>
        </w:tc>
        <w:tc>
          <w:tcPr>
            <w:tcW w:w="126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9"/>
              </w:rPr>
              <w:t>2000</w:t>
            </w:r>
          </w:p>
        </w:tc>
        <w:tc>
          <w:tcPr>
            <w:tcW w:w="138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1999</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1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72"/>
        </w:trPr>
        <w:tc>
          <w:tcPr>
            <w:tcW w:w="214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High</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Low</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High</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Low</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High</w:t>
            </w: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Low</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High</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Low</w:t>
            </w:r>
          </w:p>
        </w:tc>
      </w:tr>
      <w:tr>
        <w:trPr>
          <w:trHeight w:val="172"/>
        </w:trPr>
        <w:tc>
          <w:tcPr>
            <w:tcW w:w="2140" w:type="dxa"/>
            <w:vAlign w:val="bottom"/>
          </w:tcPr>
          <w:p>
            <w:pPr>
              <w:spacing w:after="0"/>
              <w:rPr>
                <w:sz w:val="14"/>
                <w:szCs w:val="14"/>
                <w:color w:val="auto"/>
              </w:rPr>
            </w:pPr>
          </w:p>
        </w:tc>
        <w:tc>
          <w:tcPr>
            <w:tcW w:w="5100" w:type="dxa"/>
            <w:vAlign w:val="bottom"/>
            <w:gridSpan w:val="8"/>
          </w:tcPr>
          <w:p>
            <w:pPr>
              <w:jc w:val="right"/>
              <w:ind w:right="105"/>
              <w:spacing w:after="0"/>
              <w:rPr>
                <w:sz w:val="20"/>
                <w:szCs w:val="20"/>
                <w:color w:val="auto"/>
              </w:rPr>
            </w:pPr>
            <w:r>
              <w:rPr>
                <w:rFonts w:ascii="Courier New" w:cs="Courier New" w:eastAsia="Courier New" w:hAnsi="Courier New"/>
                <w:sz w:val="15"/>
                <w:szCs w:val="15"/>
                <w:color w:val="auto"/>
                <w:w w:val="98"/>
              </w:rPr>
              <w:t>------ ------ ------ ------ ------ ------ ------ ------</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$64.81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$42.75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$47.06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$37.53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$89.00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$86.00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$89.50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$86.75</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62.63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52.63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52.41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45.78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88.00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86.00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87.50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85.50</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September 30...........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59.88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43.06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58.38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45.75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88.00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85.75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88.00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86.00</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64.56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46.50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65.00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47.81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88.50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86.50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91.00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87.00</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Closing Price..........</w:t>
            </w:r>
          </w:p>
        </w:tc>
        <w:tc>
          <w:tcPr>
            <w:tcW w:w="12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$64.55</w:t>
            </w: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$65.00</w:t>
            </w:r>
          </w:p>
        </w:tc>
        <w:tc>
          <w:tcPr>
            <w:tcW w:w="126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6"/>
              </w:rPr>
              <w:t>$87.75</w:t>
            </w:r>
          </w:p>
        </w:tc>
        <w:tc>
          <w:tcPr>
            <w:tcW w:w="1380" w:type="dxa"/>
            <w:vAlign w:val="bottom"/>
            <w:gridSpan w:val="2"/>
          </w:tcPr>
          <w:p>
            <w:pPr>
              <w:jc w:val="center"/>
              <w:ind w:right="165"/>
              <w:spacing w:after="0"/>
              <w:rPr>
                <w:sz w:val="20"/>
                <w:szCs w:val="20"/>
                <w:color w:val="auto"/>
              </w:rPr>
            </w:pPr>
            <w:r>
              <w:rPr>
                <w:rFonts w:ascii="Courier New" w:cs="Courier New" w:eastAsia="Courier New" w:hAnsi="Courier New"/>
                <w:sz w:val="15"/>
                <w:szCs w:val="15"/>
                <w:color w:val="auto"/>
                <w:w w:val="99"/>
              </w:rPr>
              <w:t>$87.00</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w w:val="98"/>
              </w:rPr>
              <w:t>Dividends Paid Per Share</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16"/>
        </w:trPr>
        <w:tc>
          <w:tcPr>
            <w:tcW w:w="2140" w:type="dxa"/>
            <w:vAlign w:val="bottom"/>
          </w:tcPr>
          <w:p>
            <w:pPr>
              <w:spacing w:after="0"/>
              <w:rPr>
                <w:sz w:val="20"/>
                <w:szCs w:val="20"/>
                <w:color w:val="auto"/>
              </w:rPr>
            </w:pPr>
            <w:r>
              <w:rPr>
                <w:rFonts w:ascii="Courier New" w:cs="Courier New" w:eastAsia="Courier New" w:hAnsi="Courier New"/>
                <w:sz w:val="15"/>
                <w:szCs w:val="15"/>
                <w:color w:val="auto"/>
              </w:rPr>
              <w:t>Quarter Ended</w:t>
            </w:r>
          </w:p>
        </w:tc>
        <w:tc>
          <w:tcPr>
            <w:tcW w:w="120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2000</w:t>
            </w:r>
          </w:p>
        </w:tc>
        <w:tc>
          <w:tcPr>
            <w:tcW w:w="12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1999</w:t>
            </w:r>
          </w:p>
        </w:tc>
        <w:tc>
          <w:tcPr>
            <w:tcW w:w="126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9"/>
              </w:rPr>
              <w:t>2000</w:t>
            </w:r>
          </w:p>
        </w:tc>
        <w:tc>
          <w:tcPr>
            <w:tcW w:w="138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1999</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0" w:type="dxa"/>
            <w:vAlign w:val="bottom"/>
          </w:tcPr>
          <w:p>
            <w:pPr>
              <w:spacing w:after="0"/>
              <w:rPr>
                <w:sz w:val="14"/>
                <w:szCs w:val="14"/>
                <w:color w:val="auto"/>
              </w:rPr>
            </w:pP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w:t>
            </w:r>
          </w:p>
        </w:tc>
        <w:tc>
          <w:tcPr>
            <w:tcW w:w="58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w:t>
            </w:r>
          </w:p>
        </w:tc>
        <w:tc>
          <w:tcPr>
            <w:tcW w:w="58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w:t>
            </w:r>
          </w:p>
        </w:tc>
        <w:tc>
          <w:tcPr>
            <w:tcW w:w="580" w:type="dxa"/>
            <w:vAlign w:val="bottom"/>
          </w:tcPr>
          <w:p>
            <w:pPr>
              <w:spacing w:after="0"/>
              <w:rPr>
                <w:sz w:val="14"/>
                <w:szCs w:val="14"/>
                <w:color w:val="auto"/>
              </w:rPr>
            </w:pPr>
          </w:p>
        </w:tc>
        <w:tc>
          <w:tcPr>
            <w:tcW w:w="8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88"/>
              </w:rPr>
              <w:t>----</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2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$.1575</w:t>
            </w: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$.1375</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$1.0625</w:t>
            </w:r>
          </w:p>
        </w:tc>
        <w:tc>
          <w:tcPr>
            <w:tcW w:w="13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$1.0625</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12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.1575</w:t>
            </w: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.1375</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1.0625</w:t>
            </w:r>
          </w:p>
        </w:tc>
        <w:tc>
          <w:tcPr>
            <w:tcW w:w="13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1.0625</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September 30...........</w:t>
            </w:r>
          </w:p>
        </w:tc>
        <w:tc>
          <w:tcPr>
            <w:tcW w:w="12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.1575</w:t>
            </w: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.1575</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1.0625</w:t>
            </w:r>
          </w:p>
        </w:tc>
        <w:tc>
          <w:tcPr>
            <w:tcW w:w="13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1.0625</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2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.1575</w:t>
            </w: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.1575</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1.0625</w:t>
            </w:r>
          </w:p>
        </w:tc>
        <w:tc>
          <w:tcPr>
            <w:tcW w:w="13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1.0625</w:t>
            </w:r>
          </w:p>
        </w:tc>
      </w:tr>
      <w:tr>
        <w:trPr>
          <w:trHeight w:val="172"/>
        </w:trPr>
        <w:tc>
          <w:tcPr>
            <w:tcW w:w="2140" w:type="dxa"/>
            <w:vAlign w:val="bottom"/>
          </w:tcPr>
          <w:p>
            <w:pPr>
              <w:spacing w:after="0"/>
              <w:rPr>
                <w:sz w:val="14"/>
                <w:szCs w:val="14"/>
                <w:color w:val="auto"/>
              </w:rPr>
            </w:pPr>
          </w:p>
        </w:tc>
        <w:tc>
          <w:tcPr>
            <w:tcW w:w="12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88"/>
              </w:rPr>
              <w:t>.63</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.59</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4.25</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88"/>
              </w:rPr>
              <w:t>4.25</w:t>
            </w:r>
          </w:p>
        </w:tc>
      </w:tr>
      <w:tr>
        <w:trPr>
          <w:trHeight w:val="172"/>
        </w:trPr>
        <w:tc>
          <w:tcPr>
            <w:tcW w:w="2140" w:type="dxa"/>
            <w:vAlign w:val="bottom"/>
          </w:tcPr>
          <w:p>
            <w:pPr>
              <w:spacing w:after="0"/>
              <w:rPr>
                <w:sz w:val="14"/>
                <w:szCs w:val="14"/>
                <w:color w:val="auto"/>
              </w:rPr>
            </w:pPr>
          </w:p>
        </w:tc>
        <w:tc>
          <w:tcPr>
            <w:tcW w:w="12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516"/>
        </w:trPr>
        <w:tc>
          <w:tcPr>
            <w:tcW w:w="2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38" w:name="page39"/>
    <w:bookmarkEnd w:id="38"/>
    <w:p>
      <w:pPr>
        <w:jc w:val="center"/>
        <w:ind w:right="3079"/>
        <w:spacing w:after="0"/>
        <w:rPr>
          <w:sz w:val="20"/>
          <w:szCs w:val="20"/>
          <w:color w:val="auto"/>
        </w:rPr>
      </w:pPr>
      <w:r>
        <w:rPr>
          <w:rFonts w:ascii="Courier New" w:cs="Courier New" w:eastAsia="Courier New" w:hAnsi="Courier New"/>
          <w:sz w:val="15"/>
          <w:szCs w:val="15"/>
          <w:color w:val="auto"/>
        </w:rPr>
        <w:t>SCHEDULE II--VALUATION AND QUALIFYING ACCOUNTS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Year Ended December 31, 2000</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Column B</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Column C</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Column D</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Column E</w:t>
            </w:r>
          </w:p>
        </w:tc>
      </w:tr>
      <w:tr>
        <w:trPr>
          <w:trHeight w:val="172"/>
        </w:trPr>
        <w:tc>
          <w:tcPr>
            <w:tcW w:w="25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2540" w:type="dxa"/>
            <w:vAlign w:val="bottom"/>
          </w:tcPr>
          <w:p>
            <w:pPr>
              <w:ind w:left="880"/>
              <w:spacing w:after="0"/>
              <w:rPr>
                <w:sz w:val="20"/>
                <w:szCs w:val="20"/>
                <w:color w:val="auto"/>
              </w:rPr>
            </w:pPr>
            <w:r>
              <w:rPr>
                <w:rFonts w:ascii="Courier New" w:cs="Courier New" w:eastAsia="Courier New" w:hAnsi="Courier New"/>
                <w:sz w:val="15"/>
                <w:szCs w:val="15"/>
                <w:color w:val="auto"/>
              </w:rPr>
              <w:t>Column A</w:t>
            </w:r>
          </w:p>
        </w:tc>
        <w:tc>
          <w:tcPr>
            <w:tcW w:w="980" w:type="dxa"/>
            <w:vAlign w:val="bottom"/>
          </w:tcPr>
          <w:p>
            <w:pPr>
              <w:spacing w:after="0"/>
              <w:rPr>
                <w:sz w:val="14"/>
                <w:szCs w:val="14"/>
                <w:color w:val="auto"/>
              </w:rPr>
            </w:pP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Additions</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4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40" w:type="dxa"/>
            <w:vAlign w:val="bottom"/>
          </w:tcPr>
          <w:p>
            <w:pPr>
              <w:spacing w:after="0"/>
              <w:rPr>
                <w:sz w:val="14"/>
                <w:szCs w:val="14"/>
                <w:color w:val="auto"/>
              </w:rPr>
            </w:pPr>
          </w:p>
        </w:tc>
        <w:tc>
          <w:tcPr>
            <w:tcW w:w="2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Balance at Charged to</w:t>
            </w: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Balance</w:t>
            </w:r>
          </w:p>
        </w:tc>
      </w:tr>
      <w:tr>
        <w:trPr>
          <w:trHeight w:val="172"/>
        </w:trPr>
        <w:tc>
          <w:tcPr>
            <w:tcW w:w="254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Beginning</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Costs and</w:t>
            </w: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at End</w:t>
            </w:r>
          </w:p>
        </w:tc>
      </w:tr>
      <w:tr>
        <w:trPr>
          <w:trHeight w:val="172"/>
        </w:trPr>
        <w:tc>
          <w:tcPr>
            <w:tcW w:w="2540" w:type="dxa"/>
            <w:vAlign w:val="bottom"/>
          </w:tcPr>
          <w:p>
            <w:pPr>
              <w:ind w:left="700"/>
              <w:spacing w:after="0"/>
              <w:rPr>
                <w:sz w:val="20"/>
                <w:szCs w:val="20"/>
                <w:color w:val="auto"/>
              </w:rPr>
            </w:pPr>
            <w:r>
              <w:rPr>
                <w:rFonts w:ascii="Courier New" w:cs="Courier New" w:eastAsia="Courier New" w:hAnsi="Courier New"/>
                <w:sz w:val="15"/>
                <w:szCs w:val="15"/>
                <w:color w:val="auto"/>
              </w:rPr>
              <w:t>Description</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of Period</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Expenses</w:t>
            </w:r>
          </w:p>
        </w:tc>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Other Deductions</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of Period</w:t>
            </w:r>
          </w:p>
        </w:tc>
      </w:tr>
      <w:tr>
        <w:trPr>
          <w:trHeight w:val="172"/>
        </w:trPr>
        <w:tc>
          <w:tcPr>
            <w:tcW w:w="25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3720" w:type="dxa"/>
            <w:vAlign w:val="bottom"/>
            <w:gridSpan w:val="4"/>
          </w:tcPr>
          <w:p>
            <w:pPr>
              <w:jc w:val="center"/>
              <w:ind w:right="165"/>
              <w:spacing w:after="0"/>
              <w:rPr>
                <w:sz w:val="20"/>
                <w:szCs w:val="20"/>
                <w:color w:val="auto"/>
              </w:rPr>
            </w:pPr>
            <w:r>
              <w:rPr>
                <w:rFonts w:ascii="Courier New" w:cs="Courier New" w:eastAsia="Courier New" w:hAnsi="Courier New"/>
                <w:sz w:val="15"/>
                <w:szCs w:val="15"/>
                <w:color w:val="auto"/>
                <w:w w:val="99"/>
              </w:rPr>
              <w:t>---------- ---------- ----- ----------</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Allowance for doubtful</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accounts...................</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$ 37.2</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$10.3</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$ 7.7(/1/)</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$ 39.8</w:t>
            </w:r>
          </w:p>
        </w:tc>
      </w:tr>
      <w:tr>
        <w:trPr>
          <w:trHeight w:val="172"/>
        </w:trPr>
        <w:tc>
          <w:tcPr>
            <w:tcW w:w="25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Accumulated amortization of</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goodwill and other</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intangibles................</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$578.9</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$72.1</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$651.0</w:t>
            </w:r>
          </w:p>
        </w:tc>
      </w:tr>
      <w:tr>
        <w:trPr>
          <w:trHeight w:val="172"/>
        </w:trPr>
        <w:tc>
          <w:tcPr>
            <w:tcW w:w="25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Valuation allowance for</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deferred tax assets........</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$137.0</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 --</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$62.3(/2/)</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$ 74.7</w:t>
            </w:r>
          </w:p>
        </w:tc>
      </w:tr>
      <w:tr>
        <w:trPr>
          <w:trHeight w:val="172"/>
        </w:trPr>
        <w:tc>
          <w:tcPr>
            <w:tcW w:w="25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Uncollectible accounts written off and cash discounts allowed.</w:t>
      </w:r>
    </w:p>
    <w:p>
      <w:pPr>
        <w:spacing w:after="0" w:line="4" w:lineRule="exact"/>
        <w:rPr>
          <w:sz w:val="20"/>
          <w:szCs w:val="20"/>
          <w:color w:val="auto"/>
        </w:rPr>
      </w:pPr>
    </w:p>
    <w:p>
      <w:pPr>
        <w:ind w:left="520" w:right="3159" w:hanging="536"/>
        <w:spacing w:after="0"/>
        <w:rPr>
          <w:sz w:val="20"/>
          <w:szCs w:val="20"/>
          <w:color w:val="auto"/>
        </w:rPr>
      </w:pPr>
      <w:r>
        <w:rPr>
          <w:rFonts w:ascii="Courier New" w:cs="Courier New" w:eastAsia="Courier New" w:hAnsi="Courier New"/>
          <w:sz w:val="15"/>
          <w:szCs w:val="15"/>
          <w:color w:val="auto"/>
        </w:rPr>
        <w:t>(/2/) Decrease in allowance due to utilization of tax credits and net operating loss carryforwards.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3" w:right="1440" w:bottom="1440" w:gutter="0" w:footer="0" w:header="0"/>
        </w:sectPr>
      </w:pPr>
    </w:p>
    <w:bookmarkStart w:id="39" w:name="page40"/>
    <w:bookmarkEnd w:id="39"/>
    <w:p>
      <w:pPr>
        <w:jc w:val="center"/>
        <w:ind w:right="3079"/>
        <w:spacing w:after="0"/>
        <w:rPr>
          <w:sz w:val="20"/>
          <w:szCs w:val="20"/>
          <w:color w:val="auto"/>
        </w:rPr>
      </w:pPr>
      <w:r>
        <w:rPr>
          <w:rFonts w:ascii="Courier New" w:cs="Courier New" w:eastAsia="Courier New" w:hAnsi="Courier New"/>
          <w:sz w:val="15"/>
          <w:szCs w:val="15"/>
          <w:color w:val="auto"/>
        </w:rPr>
        <w:t>SCHEDULE II--VALUATION AND QUALIFYING ACCOUNTS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Year Ended December 31, 1999</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Column B</w:t>
            </w:r>
          </w:p>
        </w:tc>
        <w:tc>
          <w:tcPr>
            <w:tcW w:w="19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Column C</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Column D</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Column E</w:t>
            </w:r>
          </w:p>
        </w:tc>
      </w:tr>
      <w:tr>
        <w:trPr>
          <w:trHeight w:val="172"/>
        </w:trPr>
        <w:tc>
          <w:tcPr>
            <w:tcW w:w="2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96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2220" w:type="dxa"/>
            <w:vAlign w:val="bottom"/>
          </w:tcPr>
          <w:p>
            <w:pPr>
              <w:ind w:left="700"/>
              <w:spacing w:after="0"/>
              <w:rPr>
                <w:sz w:val="20"/>
                <w:szCs w:val="20"/>
                <w:color w:val="auto"/>
              </w:rPr>
            </w:pPr>
            <w:r>
              <w:rPr>
                <w:rFonts w:ascii="Courier New" w:cs="Courier New" w:eastAsia="Courier New" w:hAnsi="Courier New"/>
                <w:sz w:val="15"/>
                <w:szCs w:val="15"/>
                <w:color w:val="auto"/>
              </w:rPr>
              <w:t>Column A</w:t>
            </w:r>
          </w:p>
        </w:tc>
        <w:tc>
          <w:tcPr>
            <w:tcW w:w="1040" w:type="dxa"/>
            <w:vAlign w:val="bottom"/>
          </w:tcPr>
          <w:p>
            <w:pPr>
              <w:spacing w:after="0"/>
              <w:rPr>
                <w:sz w:val="14"/>
                <w:szCs w:val="14"/>
                <w:color w:val="auto"/>
              </w:rPr>
            </w:pPr>
          </w:p>
        </w:tc>
        <w:tc>
          <w:tcPr>
            <w:tcW w:w="19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Additions</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22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96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Balance at Charged to</w:t>
            </w: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Balance</w:t>
            </w:r>
          </w:p>
        </w:tc>
      </w:tr>
      <w:tr>
        <w:trPr>
          <w:trHeight w:val="172"/>
        </w:trPr>
        <w:tc>
          <w:tcPr>
            <w:tcW w:w="22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Beginning</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Costs and</w:t>
            </w: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at End</w:t>
            </w:r>
          </w:p>
        </w:tc>
      </w:tr>
      <w:tr>
        <w:trPr>
          <w:trHeight w:val="172"/>
        </w:trPr>
        <w:tc>
          <w:tcPr>
            <w:tcW w:w="2220" w:type="dxa"/>
            <w:vAlign w:val="bottom"/>
          </w:tcPr>
          <w:p>
            <w:pPr>
              <w:ind w:left="520"/>
              <w:spacing w:after="0"/>
              <w:rPr>
                <w:sz w:val="20"/>
                <w:szCs w:val="20"/>
                <w:color w:val="auto"/>
              </w:rPr>
            </w:pPr>
            <w:r>
              <w:rPr>
                <w:rFonts w:ascii="Courier New" w:cs="Courier New" w:eastAsia="Courier New" w:hAnsi="Courier New"/>
                <w:sz w:val="15"/>
                <w:szCs w:val="15"/>
                <w:color w:val="auto"/>
              </w:rPr>
              <w:t>Description</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of Period</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Expenses</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Other</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Deductions</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of Period</w:t>
            </w:r>
          </w:p>
        </w:tc>
      </w:tr>
      <w:tr>
        <w:trPr>
          <w:trHeight w:val="172"/>
        </w:trPr>
        <w:tc>
          <w:tcPr>
            <w:tcW w:w="22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3000" w:type="dxa"/>
            <w:vAlign w:val="bottom"/>
            <w:gridSpan w:val="3"/>
          </w:tcPr>
          <w:p>
            <w:pPr>
              <w:jc w:val="right"/>
              <w:ind w:right="405"/>
              <w:spacing w:after="0"/>
              <w:rPr>
                <w:sz w:val="20"/>
                <w:szCs w:val="20"/>
                <w:color w:val="auto"/>
              </w:rPr>
            </w:pPr>
            <w:r>
              <w:rPr>
                <w:rFonts w:ascii="Courier New" w:cs="Courier New" w:eastAsia="Courier New" w:hAnsi="Courier New"/>
                <w:sz w:val="15"/>
                <w:szCs w:val="15"/>
                <w:color w:val="auto"/>
              </w:rPr>
              <w:t>---------- ---------- -----</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Allowance for doubtful</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accounts...............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$ 35.9</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$10.2</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 --</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$ 8.9(/1/)</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$ 37.2</w:t>
            </w:r>
          </w:p>
        </w:tc>
      </w:tr>
      <w:tr>
        <w:trPr>
          <w:trHeight w:val="172"/>
        </w:trPr>
        <w:tc>
          <w:tcPr>
            <w:tcW w:w="2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goodwill and other</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intangibles............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$556.7</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$75.6</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 --</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$53.4(/2/)</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$578.9</w:t>
            </w:r>
          </w:p>
        </w:tc>
      </w:tr>
      <w:tr>
        <w:trPr>
          <w:trHeight w:val="172"/>
        </w:trPr>
        <w:tc>
          <w:tcPr>
            <w:tcW w:w="2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Valuation allowance for</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deferred tax assets....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$122.8</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$52.3(/3/)</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$38.1(/3/)</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$137.0</w:t>
            </w:r>
          </w:p>
        </w:tc>
      </w:tr>
      <w:tr>
        <w:trPr>
          <w:trHeight w:val="172"/>
        </w:trPr>
        <w:tc>
          <w:tcPr>
            <w:tcW w:w="2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Uncollectible accounts written off and cash discounts allowed.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Primarily due to the impact of exchange rate changes in Brazil.</w:t>
      </w:r>
    </w:p>
    <w:p>
      <w:pPr>
        <w:spacing w:after="0" w:line="4" w:lineRule="exact"/>
        <w:rPr>
          <w:sz w:val="20"/>
          <w:szCs w:val="20"/>
          <w:color w:val="auto"/>
        </w:rPr>
      </w:pPr>
    </w:p>
    <w:p>
      <w:pPr>
        <w:ind w:left="520" w:right="3339" w:hanging="536"/>
        <w:spacing w:after="0" w:line="274" w:lineRule="auto"/>
        <w:rPr>
          <w:sz w:val="20"/>
          <w:szCs w:val="20"/>
          <w:color w:val="auto"/>
        </w:rPr>
      </w:pPr>
      <w:r>
        <w:rPr>
          <w:rFonts w:ascii="Courier New" w:cs="Courier New" w:eastAsia="Courier New" w:hAnsi="Courier New"/>
          <w:sz w:val="14"/>
          <w:szCs w:val="14"/>
          <w:color w:val="auto"/>
        </w:rPr>
        <w:t>(/3/) Increase/decrease in allowance for tax loss and tax credit carryforward benefits that are likely not to be utilized in the future.</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3" w:right="1440" w:bottom="1440" w:gutter="0" w:footer="0" w:header="0"/>
        </w:sectPr>
      </w:pPr>
    </w:p>
    <w:bookmarkStart w:id="40" w:name="page41"/>
    <w:bookmarkEnd w:id="40"/>
    <w:p>
      <w:pPr>
        <w:jc w:val="center"/>
        <w:ind w:right="3079"/>
        <w:spacing w:after="0"/>
        <w:rPr>
          <w:sz w:val="20"/>
          <w:szCs w:val="20"/>
          <w:color w:val="auto"/>
        </w:rPr>
      </w:pPr>
      <w:r>
        <w:rPr>
          <w:rFonts w:ascii="Courier New" w:cs="Courier New" w:eastAsia="Courier New" w:hAnsi="Courier New"/>
          <w:sz w:val="15"/>
          <w:szCs w:val="15"/>
          <w:color w:val="auto"/>
        </w:rPr>
        <w:t>SCHEDULE II--VALUATION AND QUALIFYING ACCOUNTS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Column B</w:t>
            </w:r>
          </w:p>
        </w:tc>
        <w:tc>
          <w:tcPr>
            <w:tcW w:w="19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Column C</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Column D</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Column E</w:t>
            </w:r>
          </w:p>
        </w:tc>
      </w:tr>
      <w:tr>
        <w:trPr>
          <w:trHeight w:val="172"/>
        </w:trPr>
        <w:tc>
          <w:tcPr>
            <w:tcW w:w="2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96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2220" w:type="dxa"/>
            <w:vAlign w:val="bottom"/>
          </w:tcPr>
          <w:p>
            <w:pPr>
              <w:ind w:left="700"/>
              <w:spacing w:after="0"/>
              <w:rPr>
                <w:sz w:val="20"/>
                <w:szCs w:val="20"/>
                <w:color w:val="auto"/>
              </w:rPr>
            </w:pPr>
            <w:r>
              <w:rPr>
                <w:rFonts w:ascii="Courier New" w:cs="Courier New" w:eastAsia="Courier New" w:hAnsi="Courier New"/>
                <w:sz w:val="15"/>
                <w:szCs w:val="15"/>
                <w:color w:val="auto"/>
              </w:rPr>
              <w:t>Column A</w:t>
            </w:r>
          </w:p>
        </w:tc>
        <w:tc>
          <w:tcPr>
            <w:tcW w:w="1040" w:type="dxa"/>
            <w:vAlign w:val="bottom"/>
          </w:tcPr>
          <w:p>
            <w:pPr>
              <w:spacing w:after="0"/>
              <w:rPr>
                <w:sz w:val="14"/>
                <w:szCs w:val="14"/>
                <w:color w:val="auto"/>
              </w:rPr>
            </w:pPr>
          </w:p>
        </w:tc>
        <w:tc>
          <w:tcPr>
            <w:tcW w:w="19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Additions</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22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96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Balance at Charged to</w:t>
            </w: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Balance</w:t>
            </w:r>
          </w:p>
        </w:tc>
      </w:tr>
      <w:tr>
        <w:trPr>
          <w:trHeight w:val="172"/>
        </w:trPr>
        <w:tc>
          <w:tcPr>
            <w:tcW w:w="22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Beginning</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Costs and</w:t>
            </w: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at End</w:t>
            </w:r>
          </w:p>
        </w:tc>
      </w:tr>
      <w:tr>
        <w:trPr>
          <w:trHeight w:val="172"/>
        </w:trPr>
        <w:tc>
          <w:tcPr>
            <w:tcW w:w="2220" w:type="dxa"/>
            <w:vAlign w:val="bottom"/>
          </w:tcPr>
          <w:p>
            <w:pPr>
              <w:ind w:left="520"/>
              <w:spacing w:after="0"/>
              <w:rPr>
                <w:sz w:val="20"/>
                <w:szCs w:val="20"/>
                <w:color w:val="auto"/>
              </w:rPr>
            </w:pPr>
            <w:r>
              <w:rPr>
                <w:rFonts w:ascii="Courier New" w:cs="Courier New" w:eastAsia="Courier New" w:hAnsi="Courier New"/>
                <w:sz w:val="15"/>
                <w:szCs w:val="15"/>
                <w:color w:val="auto"/>
              </w:rPr>
              <w:t>Description</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of Period</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Expenses</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Other</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Deductions</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of Period</w:t>
            </w:r>
          </w:p>
        </w:tc>
      </w:tr>
      <w:tr>
        <w:trPr>
          <w:trHeight w:val="172"/>
        </w:trPr>
        <w:tc>
          <w:tcPr>
            <w:tcW w:w="22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3000" w:type="dxa"/>
            <w:vAlign w:val="bottom"/>
            <w:gridSpan w:val="3"/>
          </w:tcPr>
          <w:p>
            <w:pPr>
              <w:jc w:val="right"/>
              <w:ind w:right="405"/>
              <w:spacing w:after="0"/>
              <w:rPr>
                <w:sz w:val="20"/>
                <w:szCs w:val="20"/>
                <w:color w:val="auto"/>
              </w:rPr>
            </w:pPr>
            <w:r>
              <w:rPr>
                <w:rFonts w:ascii="Courier New" w:cs="Courier New" w:eastAsia="Courier New" w:hAnsi="Courier New"/>
                <w:sz w:val="15"/>
                <w:szCs w:val="15"/>
                <w:color w:val="auto"/>
              </w:rPr>
              <w:t>---------- ---------- -----</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Allowance for doubtful</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accounts...............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$ 35.8</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$12.3</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 --</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$12.2(/1/)</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$ 35.9</w:t>
            </w:r>
          </w:p>
        </w:tc>
      </w:tr>
      <w:tr>
        <w:trPr>
          <w:trHeight w:val="172"/>
        </w:trPr>
        <w:tc>
          <w:tcPr>
            <w:tcW w:w="2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goodwill and other</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intangibles............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$475.0</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$81.7</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 --</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$556.7</w:t>
            </w:r>
          </w:p>
        </w:tc>
      </w:tr>
      <w:tr>
        <w:trPr>
          <w:trHeight w:val="172"/>
        </w:trPr>
        <w:tc>
          <w:tcPr>
            <w:tcW w:w="2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Valuation allowance for</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deferred tax assets....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$124.3</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$69.6(/2/)</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$71.1(/2/)</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$122.8</w:t>
            </w:r>
          </w:p>
        </w:tc>
      </w:tr>
      <w:tr>
        <w:trPr>
          <w:trHeight w:val="172"/>
        </w:trPr>
        <w:tc>
          <w:tcPr>
            <w:tcW w:w="2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Uncollectible accounts written off and cash discounts allowed.</w:t>
      </w:r>
    </w:p>
    <w:p>
      <w:pPr>
        <w:spacing w:after="0" w:line="4" w:lineRule="exact"/>
        <w:rPr>
          <w:sz w:val="20"/>
          <w:szCs w:val="20"/>
          <w:color w:val="auto"/>
        </w:rPr>
      </w:pPr>
    </w:p>
    <w:p>
      <w:pPr>
        <w:ind w:left="520" w:right="3339" w:hanging="536"/>
        <w:spacing w:after="0" w:line="274" w:lineRule="auto"/>
        <w:rPr>
          <w:sz w:val="20"/>
          <w:szCs w:val="20"/>
          <w:color w:val="auto"/>
        </w:rPr>
      </w:pPr>
      <w:r>
        <w:rPr>
          <w:rFonts w:ascii="Courier New" w:cs="Courier New" w:eastAsia="Courier New" w:hAnsi="Courier New"/>
          <w:sz w:val="14"/>
          <w:szCs w:val="14"/>
          <w:color w:val="auto"/>
        </w:rPr>
        <w:t>(/2/) Increase/decrease in allowance for tax loss and tax credit carryforward benefits that are likely not to be utilized in the future.</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3" w:right="1440" w:bottom="1440" w:gutter="0" w:footer="0" w:header="0"/>
        </w:sectPr>
      </w:pPr>
    </w:p>
    <w:bookmarkStart w:id="41" w:name="page42"/>
    <w:bookmarkEnd w:id="41"/>
    <w:p>
      <w:pPr>
        <w:ind w:left="170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Colgate-Palmolive Company:</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Colgate-Palmolive Company (a Delaware corporation) and subsidiaries as of December 31, 2000 and 1999, and the related consolidated statements of income, retained earnings, comprehensive income and changes in capital accounts, and cash flows for each of the three years in the period ended December 31, 2000. These financial statements and the schedules referred to below are the responsibility of the Company's management. Our responsibility is to express an opinion on these financial statements and schedules based on our audits.</w:t>
      </w:r>
    </w:p>
    <w:p>
      <w:pPr>
        <w:spacing w:after="0" w:line="177"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Colgate-Palmolive Company and subsidiaries as of December 31, 2000 and 1999 and the results of their operations and their cash flows for each of the three years in the period ended December 31, 2000, in conformity with accounting principles generally accepted in the United States.</w:t>
      </w:r>
    </w:p>
    <w:p>
      <w:pPr>
        <w:spacing w:after="0" w:line="176"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Our audit was made for the purpose of forming an opinion on the basic financial statements taken as a whole. The schedules listed in the index to financial statements are presented for purposes of complying with the Securities and Exchange Commission's rules and are not part of the basic financial statements. These schedules have been subjected to the auditing procedures applied in the audit of the basic financial statements and, in our opinion, fairly state in all material respects the financial data required to be set forth therein in relation to the basic financial statements taken as a whole.</w:t>
      </w:r>
    </w:p>
    <w:p>
      <w:pPr>
        <w:spacing w:after="0" w:line="17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Arthur Andersen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30, 2001</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3"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Historical Financial Summary(/1/)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1994</w:t>
            </w:r>
          </w:p>
        </w:tc>
        <w:tc>
          <w:tcPr>
            <w:tcW w:w="13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1992</w:t>
            </w:r>
          </w:p>
        </w:tc>
        <w:tc>
          <w:tcPr>
            <w:tcW w:w="12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1991</w:t>
            </w:r>
          </w:p>
        </w:tc>
      </w:tr>
      <w:tr>
        <w:trPr>
          <w:trHeight w:val="172"/>
        </w:trPr>
        <w:tc>
          <w:tcPr>
            <w:tcW w:w="17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338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8"/>
              </w:rPr>
              <w:t>------------- -------- ------------</w:t>
            </w: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Continuing</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$9,357.9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$9,118.2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$8,971.6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$9,056.7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$8,749.0</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$8,358.2</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$7,587.9</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$7,141.3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$7,007.2</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$6,060.3</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Results of</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w w:val="98"/>
              </w:rPr>
              <w:t>Net income........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1,063.8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937.3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848.6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740.4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635.0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172.0(/2/)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580.2(/3/)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189.9(/4/)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477.0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124.9(/5/)</w:t>
            </w: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w w:val="98"/>
              </w:rPr>
              <w:t>Per share, basic..</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.26(/2/)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.96(/3/)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.27(/4/)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w w:val="98"/>
              </w:rPr>
              <w:t>Per share, diluted</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.89(/3/)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w w:val="98"/>
              </w:rPr>
              <w:t>expense...........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340.2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316.3</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300.3</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235.1</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209.6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192.5</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146.2</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Current ratio......</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Property, plant and</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w w:val="98"/>
              </w:rPr>
              <w:t>equipment, net....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2,528.3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2,551.1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2,589.2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2,441.0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2,428.9</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2,155.2</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1,988.1</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1,766.3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1,596.8</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1,394.9</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w w:val="98"/>
              </w:rPr>
              <w:t>expenditures......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366.6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372.8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389.6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478.5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459.0</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431.8</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400.8</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364.3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318.5</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260.7</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Total assets.......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7,252.3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7,423.1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7,685.2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7,538.7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7,901.5</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7,642.3</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6,142.4</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5,761.2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5,434.1</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4,510.6</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Long-term debt.....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2,536.9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2,243.3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2,300.6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2,340.3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2,786.8</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2,992.0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1,751.5</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1,532.4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946.5</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850.8</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Shareholders'</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w w:val="98"/>
              </w:rPr>
              <w:t>equity............</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1,468.1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1,833.7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2,085.6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2,178.6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2,034.1</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1,679.8</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1,822.9</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1,875.0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2,619.8</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1,866.3</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Share and Other</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Book value per</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w w:val="98"/>
              </w:rPr>
              <w:t>common share......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3.42</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2.84</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3.12</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3.10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3.13</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Cash dividends</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declared and</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paid per common</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w w:val="98"/>
              </w:rPr>
              <w:t>share.............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.44</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.39</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Closing price......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64.55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46.44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36.75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23.06</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17.56</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15.84</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15.59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13.94</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12.22</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Number of common</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outstanding (in</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w w:val="98"/>
              </w:rPr>
              <w:t>millions).........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566.7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585.4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590.8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588.6</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583.4</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577.6</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597.0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641.0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589.4</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shareholders of</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rPr>
              <w:t>record:</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w w:val="98"/>
              </w:rPr>
              <w:t>$4.25 Preferred...</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380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400</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460</w:t>
            </w: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w w:val="98"/>
              </w:rPr>
              <w:t>Common............</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42,300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44,600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45,800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46,800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45,500</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46,600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44,100</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40,300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36,800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34,100</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Average number of</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700" w:type="dxa"/>
            <w:vAlign w:val="bottom"/>
          </w:tcPr>
          <w:p>
            <w:pPr>
              <w:ind w:left="80"/>
              <w:spacing w:after="0"/>
              <w:rPr>
                <w:sz w:val="20"/>
                <w:szCs w:val="20"/>
                <w:color w:val="auto"/>
              </w:rPr>
            </w:pPr>
            <w:r>
              <w:rPr>
                <w:rFonts w:ascii="Courier New" w:cs="Courier New" w:eastAsia="Courier New" w:hAnsi="Courier New"/>
                <w:sz w:val="15"/>
                <w:szCs w:val="15"/>
                <w:color w:val="auto"/>
                <w:w w:val="98"/>
              </w:rPr>
              <w:t>employees.........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38,300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37,200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38,300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37,800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37,900</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38,400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32,800</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28,000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28,800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24,900</w:t>
            </w:r>
          </w:p>
        </w:tc>
      </w:tr>
      <w:tr>
        <w:trPr>
          <w:trHeight w:val="344"/>
        </w:trPr>
        <w:tc>
          <w:tcPr>
            <w:tcW w:w="1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80" w:type="dxa"/>
            <w:vAlign w:val="bottom"/>
          </w:tcPr>
          <w:p>
            <w:pPr>
              <w:spacing w:after="0"/>
              <w:rPr>
                <w:sz w:val="20"/>
                <w:szCs w:val="20"/>
                <w:color w:val="auto"/>
              </w:rPr>
            </w:pPr>
            <w:r>
              <w:rPr>
                <w:rFonts w:ascii="Courier New" w:cs="Courier New" w:eastAsia="Courier New" w:hAnsi="Courier New"/>
                <w:sz w:val="15"/>
                <w:szCs w:val="15"/>
                <w:color w:val="auto"/>
              </w:rPr>
              <w:t>(/1/) All share</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per share</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amounts have been restated to reflect the 1999,</w:t>
            </w:r>
          </w:p>
        </w:tc>
      </w:tr>
      <w:tr>
        <w:trPr>
          <w:trHeight w:val="172"/>
        </w:trPr>
        <w:tc>
          <w:tcPr>
            <w:tcW w:w="6960" w:type="dxa"/>
            <w:vAlign w:val="bottom"/>
            <w:gridSpan w:val="4"/>
          </w:tcPr>
          <w:p>
            <w:pPr>
              <w:ind w:left="520"/>
              <w:spacing w:after="0"/>
              <w:rPr>
                <w:sz w:val="20"/>
                <w:szCs w:val="20"/>
                <w:color w:val="auto"/>
              </w:rPr>
            </w:pPr>
            <w:r>
              <w:rPr>
                <w:rFonts w:ascii="Courier New" w:cs="Courier New" w:eastAsia="Courier New" w:hAnsi="Courier New"/>
                <w:sz w:val="15"/>
                <w:szCs w:val="15"/>
                <w:color w:val="auto"/>
              </w:rPr>
              <w:t>1997 and the 1991 two-for-one stock splits.</w:t>
            </w: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(/2/) Income in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includes</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a net provision for restructured operations of</w:t>
            </w:r>
          </w:p>
        </w:tc>
      </w:tr>
      <w:tr>
        <w:trPr>
          <w:trHeight w:val="172"/>
        </w:trPr>
        <w:tc>
          <w:tcPr>
            <w:tcW w:w="26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$369.2. (Excluding this</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w w:val="98"/>
              </w:rPr>
              <w:t>charge, earnings per share would have been $.89,</w:t>
            </w:r>
          </w:p>
        </w:tc>
      </w:tr>
      <w:tr>
        <w:trPr>
          <w:trHeight w:val="172"/>
        </w:trPr>
        <w:tc>
          <w:tcPr>
            <w:tcW w:w="6960" w:type="dxa"/>
            <w:vAlign w:val="bottom"/>
            <w:gridSpan w:val="4"/>
          </w:tcPr>
          <w:p>
            <w:pPr>
              <w:ind w:left="520"/>
              <w:spacing w:after="0"/>
              <w:rPr>
                <w:sz w:val="20"/>
                <w:szCs w:val="20"/>
                <w:color w:val="auto"/>
              </w:rPr>
            </w:pPr>
            <w:r>
              <w:rPr>
                <w:rFonts w:ascii="Courier New" w:cs="Courier New" w:eastAsia="Courier New" w:hAnsi="Courier New"/>
                <w:sz w:val="15"/>
                <w:szCs w:val="15"/>
                <w:color w:val="auto"/>
              </w:rPr>
              <w:t>basic and $.84, diluted.)</w:t>
            </w: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(/3/) Income in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includes</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w w:val="98"/>
              </w:rPr>
              <w:t>a one-time charge of $5.2 for the sale of a non-</w:t>
            </w:r>
          </w:p>
        </w:tc>
      </w:tr>
      <w:tr>
        <w:trPr>
          <w:trHeight w:val="172"/>
        </w:trPr>
        <w:tc>
          <w:tcPr>
            <w:tcW w:w="26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core business, Princess</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House.</w:t>
            </w: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(/4/) Income in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1993</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includes</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a one-time impact of adopting new mandated</w:t>
            </w:r>
          </w:p>
        </w:tc>
      </w:tr>
      <w:tr>
        <w:trPr>
          <w:trHeight w:val="172"/>
        </w:trPr>
        <w:tc>
          <w:tcPr>
            <w:tcW w:w="6960" w:type="dxa"/>
            <w:vAlign w:val="bottom"/>
            <w:gridSpan w:val="4"/>
          </w:tcPr>
          <w:p>
            <w:pPr>
              <w:ind w:left="520"/>
              <w:spacing w:after="0"/>
              <w:rPr>
                <w:sz w:val="20"/>
                <w:szCs w:val="20"/>
                <w:color w:val="auto"/>
              </w:rPr>
            </w:pPr>
            <w:r>
              <w:rPr>
                <w:rFonts w:ascii="Courier New" w:cs="Courier New" w:eastAsia="Courier New" w:hAnsi="Courier New"/>
                <w:sz w:val="15"/>
                <w:szCs w:val="15"/>
                <w:color w:val="auto"/>
                <w:w w:val="99"/>
              </w:rPr>
              <w:t>accounting standards, effective in the first quarter of 1993, of $358.2.</w:t>
            </w:r>
          </w:p>
        </w:tc>
      </w:tr>
      <w:tr>
        <w:trPr>
          <w:trHeight w:val="172"/>
        </w:trPr>
        <w:tc>
          <w:tcPr>
            <w:tcW w:w="26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(Excluding this charge,</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earnings per share would have been $.84, basic</w:t>
            </w:r>
          </w:p>
        </w:tc>
      </w:tr>
      <w:tr>
        <w:trPr>
          <w:trHeight w:val="172"/>
        </w:trPr>
        <w:tc>
          <w:tcPr>
            <w:tcW w:w="26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and $.79, diluted.)</w:t>
            </w:r>
          </w:p>
        </w:tc>
        <w:tc>
          <w:tcPr>
            <w:tcW w:w="4320" w:type="dxa"/>
            <w:vAlign w:val="bottom"/>
          </w:tcPr>
          <w:p>
            <w:pPr>
              <w:spacing w:after="0"/>
              <w:rPr>
                <w:sz w:val="14"/>
                <w:szCs w:val="14"/>
                <w:color w:val="auto"/>
              </w:rPr>
            </w:pP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(/5/) Income in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1991</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includes</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a net provision for restructured operations of</w:t>
            </w:r>
          </w:p>
        </w:tc>
      </w:tr>
      <w:tr>
        <w:trPr>
          <w:trHeight w:val="172"/>
        </w:trPr>
        <w:tc>
          <w:tcPr>
            <w:tcW w:w="26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$243.0. (Excluding this</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w w:val="98"/>
              </w:rPr>
              <w:t>charge, earnings per share would have been $.64,</w:t>
            </w:r>
          </w:p>
        </w:tc>
      </w:tr>
    </w:tbl>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basic and $.60, diluted.)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1520"/>
          </w:cols>
          <w:pgMar w:left="240" w:top="633" w:right="139" w:bottom="1440" w:gutter="0" w:footer="0" w:header="0"/>
        </w:sectPr>
      </w:pPr>
    </w:p>
    <w:bookmarkStart w:id="43" w:name="page44"/>
    <w:bookmarkEnd w:id="43"/>
    <w:p>
      <w:pPr>
        <w:jc w:val="center"/>
        <w:ind w:right="323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EXHIBITS TO FORM 10-K</w:t>
      </w:r>
    </w:p>
    <w:p>
      <w:pPr>
        <w:spacing w:after="0" w:line="176"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YEAR ENDED DECEMBER 31, 2000</w:t>
      </w:r>
    </w:p>
    <w:p>
      <w:pPr>
        <w:spacing w:after="0" w:line="18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Commission File No. 1-644</w:t>
      </w:r>
    </w:p>
    <w:p>
      <w:pPr>
        <w:sectPr>
          <w:pgSz w:w="11900" w:h="16838" w:orient="portrait"/>
          <w:cols w:equalWidth="0" w:num="1">
            <w:col w:w="10139"/>
          </w:cols>
          <w:pgMar w:left="320" w:top="633" w:right="1440" w:bottom="0"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860" w:space="720"/>
            <w:col w:w="6559"/>
          </w:cols>
          <w:pgMar w:left="320" w:top="633" w:right="1440" w:bottom="0" w:gutter="0" w:footer="0" w:header="0"/>
          <w:type w:val="continuous"/>
        </w:sectPr>
      </w:pPr>
    </w:p>
    <w:p>
      <w:pPr>
        <w:spacing w:after="0" w:line="32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3-A</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Restated Certificate of Incorporation, as amended. (Registrant hereby incorporates by reference Exhibit 1 to its Form 8-K dated October 17, 1991, File No. 1-644-2.)</w:t>
      </w:r>
    </w:p>
    <w:p>
      <w:pPr>
        <w:spacing w:after="0" w:line="176" w:lineRule="exact"/>
        <w:rPr>
          <w:sz w:val="20"/>
          <w:szCs w:val="20"/>
          <w:color w:val="auto"/>
        </w:rPr>
      </w:pPr>
    </w:p>
    <w:p>
      <w:pPr>
        <w:sectPr>
          <w:pgSz w:w="11900" w:h="16838" w:orient="portrait"/>
          <w:cols w:equalWidth="0" w:num="2">
            <w:col w:w="360" w:space="720"/>
            <w:col w:w="9059"/>
          </w:cols>
          <w:pgMar w:left="320" w:top="633" w:right="1440" w:bottom="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3-B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By-laws.</w:t>
      </w:r>
    </w:p>
    <w:p>
      <w:pPr>
        <w:spacing w:after="0" w:line="200" w:lineRule="exact"/>
        <w:rPr>
          <w:sz w:val="20"/>
          <w:szCs w:val="20"/>
          <w:color w:val="auto"/>
        </w:rPr>
      </w:pPr>
    </w:p>
    <w:p>
      <w:pPr>
        <w:sectPr>
          <w:pgSz w:w="11900" w:h="16838" w:orient="portrait"/>
          <w:cols w:equalWidth="0" w:num="2">
            <w:col w:w="360" w:space="720"/>
            <w:col w:w="9059"/>
          </w:cols>
          <w:pgMar w:left="320" w:top="633" w:right="1440" w:bottom="0" w:gutter="0" w:footer="0" w:header="0"/>
          <w:type w:val="continuous"/>
        </w:sectPr>
      </w:pPr>
    </w:p>
    <w:p>
      <w:pPr>
        <w:spacing w:after="0" w:line="15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4-A</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Rights Agreement dated as of October 23, 1998 between registrant and First Chicago Trust Company of New York. (Registrant hereby incorporates by reference Exhibit 1 to its Form 8-A dated October 23, 1998, File No. 1-644-2.)</w:t>
      </w:r>
    </w:p>
    <w:p>
      <w:pPr>
        <w:spacing w:after="0" w:line="175" w:lineRule="exact"/>
        <w:rPr>
          <w:sz w:val="20"/>
          <w:szCs w:val="20"/>
          <w:color w:val="auto"/>
        </w:rPr>
      </w:pPr>
    </w:p>
    <w:p>
      <w:pPr>
        <w:sectPr>
          <w:pgSz w:w="11900" w:h="16838" w:orient="portrait"/>
          <w:cols w:equalWidth="0" w:num="2">
            <w:col w:w="360" w:space="720"/>
            <w:col w:w="9059"/>
          </w:cols>
          <w:pgMar w:left="320" w:top="633" w:right="1440" w:bottom="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4-B(a)</w:t>
      </w:r>
    </w:p>
    <w:p>
      <w:pPr>
        <w:spacing w:after="0" w:line="20" w:lineRule="exact"/>
        <w:rPr>
          <w:sz w:val="20"/>
          <w:szCs w:val="20"/>
          <w:color w:val="auto"/>
        </w:rPr>
      </w:pPr>
      <w:r>
        <w:rPr>
          <w:sz w:val="20"/>
          <w:szCs w:val="20"/>
          <w:color w:val="auto"/>
        </w:rPr>
        <w:br w:type="column"/>
      </w:r>
    </w:p>
    <w:p>
      <w:pPr>
        <w:ind w:right="3879"/>
        <w:spacing w:after="0"/>
        <w:rPr>
          <w:sz w:val="20"/>
          <w:szCs w:val="20"/>
          <w:color w:val="auto"/>
        </w:rPr>
      </w:pPr>
      <w:r>
        <w:rPr>
          <w:rFonts w:ascii="Courier New" w:cs="Courier New" w:eastAsia="Courier New" w:hAnsi="Courier New"/>
          <w:sz w:val="15"/>
          <w:szCs w:val="15"/>
          <w:color w:val="auto"/>
        </w:rPr>
        <w:t>Other instruments defining the rights of security holders, including indentures.*</w:t>
      </w:r>
    </w:p>
    <w:p>
      <w:pPr>
        <w:spacing w:after="0" w:line="200" w:lineRule="exact"/>
        <w:rPr>
          <w:sz w:val="20"/>
          <w:szCs w:val="20"/>
          <w:color w:val="auto"/>
        </w:rPr>
      </w:pPr>
    </w:p>
    <w:p>
      <w:pPr>
        <w:sectPr>
          <w:pgSz w:w="11900" w:h="16838" w:orient="portrait"/>
          <w:cols w:equalWidth="0" w:num="2">
            <w:col w:w="620" w:space="460"/>
            <w:col w:w="9059"/>
          </w:cols>
          <w:pgMar w:left="320" w:top="633" w:right="1440" w:bottom="0" w:gutter="0" w:footer="0" w:header="0"/>
          <w:type w:val="continuous"/>
        </w:sectPr>
      </w:pPr>
    </w:p>
    <w:p>
      <w:pPr>
        <w:spacing w:after="0" w:line="148" w:lineRule="exact"/>
        <w:rPr>
          <w:sz w:val="20"/>
          <w:szCs w:val="20"/>
          <w:color w:val="auto"/>
        </w:rPr>
      </w:pPr>
    </w:p>
    <w:p>
      <w:pPr>
        <w:ind w:left="1080" w:right="3159" w:hanging="1079"/>
        <w:spacing w:after="0" w:line="242" w:lineRule="auto"/>
        <w:tabs>
          <w:tab w:leader="none" w:pos="10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Colgate-Palmolive Company Employee Stock Ownership Trust Note Agreement dated as of June 1, 1989, as amended. (Registrant hereby incorporates by reference Exhibit 4-B (b) to its Quarterly Report on Form 10-Q for the quarter ended June 30, 2000, File No. 1-644-2.)</w:t>
      </w:r>
    </w:p>
    <w:p>
      <w:pPr>
        <w:spacing w:after="0" w:line="175" w:lineRule="exact"/>
        <w:rPr>
          <w:rFonts w:ascii="Courier New" w:cs="Courier New" w:eastAsia="Courier New" w:hAnsi="Courier New"/>
          <w:sz w:val="15"/>
          <w:szCs w:val="15"/>
          <w:color w:val="auto"/>
        </w:rPr>
      </w:pPr>
    </w:p>
    <w:p>
      <w:pPr>
        <w:ind w:left="1080" w:right="3339" w:hanging="1079"/>
        <w:spacing w:after="0"/>
        <w:tabs>
          <w:tab w:leader="none" w:pos="10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Colgate-Palmolive Company's Medium Term Notes, Series D, designated Euro Bull Indexed Notes Due November 21, 2001.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0" w:type="dxa"/>
            <w:vAlign w:val="bottom"/>
          </w:tcPr>
          <w:p>
            <w:pPr>
              <w:spacing w:after="0"/>
              <w:rPr>
                <w:sz w:val="20"/>
                <w:szCs w:val="20"/>
                <w:color w:val="auto"/>
              </w:rPr>
            </w:pPr>
            <w:r>
              <w:rPr>
                <w:rFonts w:ascii="Courier New" w:cs="Courier New" w:eastAsia="Courier New" w:hAnsi="Courier New"/>
                <w:sz w:val="15"/>
                <w:szCs w:val="15"/>
                <w:color w:val="auto"/>
              </w:rPr>
              <w:t>10-A(a)</w:t>
            </w:r>
          </w:p>
        </w:tc>
        <w:tc>
          <w:tcPr>
            <w:tcW w:w="2500" w:type="dxa"/>
            <w:vAlign w:val="bottom"/>
          </w:tcPr>
          <w:p>
            <w:pPr>
              <w:ind w:left="220"/>
              <w:spacing w:after="0"/>
              <w:rPr>
                <w:sz w:val="20"/>
                <w:szCs w:val="20"/>
                <w:color w:val="auto"/>
              </w:rPr>
            </w:pPr>
            <w:r>
              <w:rPr>
                <w:rFonts w:ascii="Courier New" w:cs="Courier New" w:eastAsia="Courier New" w:hAnsi="Courier New"/>
                <w:sz w:val="15"/>
                <w:szCs w:val="15"/>
                <w:color w:val="auto"/>
              </w:rPr>
              <w:t>Colgate-Palmolive Company</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Executive Incentive Compensation Plan,</w:t>
            </w:r>
          </w:p>
        </w:tc>
      </w:tr>
      <w:tr>
        <w:trPr>
          <w:trHeight w:val="172"/>
        </w:trPr>
        <w:tc>
          <w:tcPr>
            <w:tcW w:w="860" w:type="dxa"/>
            <w:vAlign w:val="bottom"/>
          </w:tcPr>
          <w:p>
            <w:pPr>
              <w:spacing w:after="0"/>
              <w:rPr>
                <w:sz w:val="14"/>
                <w:szCs w:val="14"/>
                <w:color w:val="auto"/>
              </w:rPr>
            </w:pPr>
          </w:p>
        </w:tc>
        <w:tc>
          <w:tcPr>
            <w:tcW w:w="6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amended and restated as of March 11, 1999. (Registrant hereby</w:t>
            </w:r>
          </w:p>
        </w:tc>
      </w:tr>
      <w:tr>
        <w:trPr>
          <w:trHeight w:val="172"/>
        </w:trPr>
        <w:tc>
          <w:tcPr>
            <w:tcW w:w="860" w:type="dxa"/>
            <w:vAlign w:val="bottom"/>
          </w:tcPr>
          <w:p>
            <w:pPr>
              <w:spacing w:after="0"/>
              <w:rPr>
                <w:sz w:val="14"/>
                <w:szCs w:val="14"/>
                <w:color w:val="auto"/>
              </w:rPr>
            </w:pPr>
          </w:p>
        </w:tc>
        <w:tc>
          <w:tcPr>
            <w:tcW w:w="2500" w:type="dxa"/>
            <w:vAlign w:val="bottom"/>
          </w:tcPr>
          <w:p>
            <w:pPr>
              <w:ind w:left="220"/>
              <w:spacing w:after="0"/>
              <w:rPr>
                <w:sz w:val="20"/>
                <w:szCs w:val="20"/>
                <w:color w:val="auto"/>
              </w:rPr>
            </w:pPr>
            <w:r>
              <w:rPr>
                <w:rFonts w:ascii="Courier New" w:cs="Courier New" w:eastAsia="Courier New" w:hAnsi="Courier New"/>
                <w:sz w:val="15"/>
                <w:szCs w:val="15"/>
                <w:color w:val="auto"/>
              </w:rPr>
              <w:t>incorporates by reference</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w w:val="98"/>
              </w:rPr>
              <w:t>Appendix A to its 1999 Notice of Meeting</w:t>
            </w:r>
          </w:p>
        </w:tc>
      </w:tr>
      <w:tr>
        <w:trPr>
          <w:trHeight w:val="172"/>
        </w:trPr>
        <w:tc>
          <w:tcPr>
            <w:tcW w:w="860" w:type="dxa"/>
            <w:vAlign w:val="bottom"/>
          </w:tcPr>
          <w:p>
            <w:pPr>
              <w:spacing w:after="0"/>
              <w:rPr>
                <w:sz w:val="14"/>
                <w:szCs w:val="14"/>
                <w:color w:val="auto"/>
              </w:rPr>
            </w:pPr>
          </w:p>
        </w:tc>
        <w:tc>
          <w:tcPr>
            <w:tcW w:w="2500" w:type="dxa"/>
            <w:vAlign w:val="bottom"/>
          </w:tcPr>
          <w:p>
            <w:pPr>
              <w:ind w:left="220"/>
              <w:spacing w:after="0"/>
              <w:rPr>
                <w:sz w:val="20"/>
                <w:szCs w:val="20"/>
                <w:color w:val="auto"/>
              </w:rPr>
            </w:pPr>
            <w:r>
              <w:rPr>
                <w:rFonts w:ascii="Courier New" w:cs="Courier New" w:eastAsia="Courier New" w:hAnsi="Courier New"/>
                <w:sz w:val="15"/>
                <w:szCs w:val="15"/>
                <w:color w:val="auto"/>
              </w:rPr>
              <w:t>and Proxy Statement.)</w:t>
            </w:r>
          </w:p>
        </w:tc>
        <w:tc>
          <w:tcPr>
            <w:tcW w:w="3620" w:type="dxa"/>
            <w:vAlign w:val="bottom"/>
          </w:tcPr>
          <w:p>
            <w:pPr>
              <w:spacing w:after="0"/>
              <w:rPr>
                <w:sz w:val="14"/>
                <w:szCs w:val="14"/>
                <w:color w:val="auto"/>
              </w:rPr>
            </w:pPr>
          </w:p>
        </w:tc>
      </w:tr>
    </w:tbl>
    <w:p>
      <w:pPr>
        <w:spacing w:after="0" w:line="176" w:lineRule="exact"/>
        <w:rPr>
          <w:sz w:val="20"/>
          <w:szCs w:val="20"/>
          <w:color w:val="auto"/>
        </w:rPr>
      </w:pPr>
    </w:p>
    <w:p>
      <w:pPr>
        <w:jc w:val="both"/>
        <w:ind w:left="1080" w:right="3439" w:hanging="1079"/>
        <w:spacing w:after="0" w:line="242" w:lineRule="auto"/>
        <w:tabs>
          <w:tab w:leader="none" w:pos="10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Colgate-Palmolive Company Executive Incentive Compensation Plan Trust, as amended. (Registrant hereby incorporates by reference Exhibit 10-B (b) to its Annual Report on Form 10-K for the year ended December 31, 1987, File No. 1-644-2.)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0" w:type="dxa"/>
            <w:vAlign w:val="bottom"/>
          </w:tcPr>
          <w:p>
            <w:pPr>
              <w:spacing w:after="0"/>
              <w:rPr>
                <w:sz w:val="20"/>
                <w:szCs w:val="20"/>
                <w:color w:val="auto"/>
              </w:rPr>
            </w:pPr>
            <w:r>
              <w:rPr>
                <w:rFonts w:ascii="Courier New" w:cs="Courier New" w:eastAsia="Courier New" w:hAnsi="Courier New"/>
                <w:sz w:val="15"/>
                <w:szCs w:val="15"/>
                <w:color w:val="auto"/>
              </w:rPr>
              <w:t>10-B(a)</w:t>
            </w:r>
          </w:p>
        </w:tc>
        <w:tc>
          <w:tcPr>
            <w:tcW w:w="3660" w:type="dxa"/>
            <w:vAlign w:val="bottom"/>
          </w:tcPr>
          <w:p>
            <w:pPr>
              <w:ind w:left="220"/>
              <w:spacing w:after="0"/>
              <w:rPr>
                <w:sz w:val="20"/>
                <w:szCs w:val="20"/>
                <w:color w:val="auto"/>
              </w:rPr>
            </w:pPr>
            <w:r>
              <w:rPr>
                <w:rFonts w:ascii="Courier New" w:cs="Courier New" w:eastAsia="Courier New" w:hAnsi="Courier New"/>
                <w:sz w:val="15"/>
                <w:szCs w:val="15"/>
                <w:color w:val="auto"/>
                <w:w w:val="99"/>
              </w:rPr>
              <w:t>Colgate-Palmolive Company Supplemental</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Salaried Employees</w:t>
            </w:r>
          </w:p>
        </w:tc>
      </w:tr>
      <w:tr>
        <w:trPr>
          <w:trHeight w:val="172"/>
        </w:trPr>
        <w:tc>
          <w:tcPr>
            <w:tcW w:w="860" w:type="dxa"/>
            <w:vAlign w:val="bottom"/>
          </w:tcPr>
          <w:p>
            <w:pPr>
              <w:spacing w:after="0"/>
              <w:rPr>
                <w:sz w:val="14"/>
                <w:szCs w:val="14"/>
                <w:color w:val="auto"/>
              </w:rPr>
            </w:pPr>
          </w:p>
        </w:tc>
        <w:tc>
          <w:tcPr>
            <w:tcW w:w="6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Retirement Plan. (Registrant hereby incorporates by reference</w:t>
            </w:r>
          </w:p>
        </w:tc>
      </w:tr>
      <w:tr>
        <w:trPr>
          <w:trHeight w:val="172"/>
        </w:trPr>
        <w:tc>
          <w:tcPr>
            <w:tcW w:w="860" w:type="dxa"/>
            <w:vAlign w:val="bottom"/>
          </w:tcPr>
          <w:p>
            <w:pPr>
              <w:spacing w:after="0"/>
              <w:rPr>
                <w:sz w:val="14"/>
                <w:szCs w:val="14"/>
                <w:color w:val="auto"/>
              </w:rPr>
            </w:pPr>
          </w:p>
        </w:tc>
        <w:tc>
          <w:tcPr>
            <w:tcW w:w="3660" w:type="dxa"/>
            <w:vAlign w:val="bottom"/>
          </w:tcPr>
          <w:p>
            <w:pPr>
              <w:ind w:left="220"/>
              <w:spacing w:after="0"/>
              <w:rPr>
                <w:sz w:val="20"/>
                <w:szCs w:val="20"/>
                <w:color w:val="auto"/>
              </w:rPr>
            </w:pPr>
            <w:r>
              <w:rPr>
                <w:rFonts w:ascii="Courier New" w:cs="Courier New" w:eastAsia="Courier New" w:hAnsi="Courier New"/>
                <w:sz w:val="15"/>
                <w:szCs w:val="15"/>
                <w:color w:val="auto"/>
                <w:w w:val="99"/>
              </w:rPr>
              <w:t>Exhibit 10-E (Plan only) to its Annual</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w w:val="98"/>
              </w:rPr>
              <w:t>Report on Form 10-K for the</w:t>
            </w:r>
          </w:p>
        </w:tc>
      </w:tr>
      <w:tr>
        <w:trPr>
          <w:trHeight w:val="172"/>
        </w:trPr>
        <w:tc>
          <w:tcPr>
            <w:tcW w:w="860" w:type="dxa"/>
            <w:vAlign w:val="bottom"/>
          </w:tcPr>
          <w:p>
            <w:pPr>
              <w:spacing w:after="0"/>
              <w:rPr>
                <w:sz w:val="14"/>
                <w:szCs w:val="14"/>
                <w:color w:val="auto"/>
              </w:rPr>
            </w:pPr>
          </w:p>
        </w:tc>
        <w:tc>
          <w:tcPr>
            <w:tcW w:w="3660" w:type="dxa"/>
            <w:vAlign w:val="bottom"/>
          </w:tcPr>
          <w:p>
            <w:pPr>
              <w:ind w:left="220"/>
              <w:spacing w:after="0"/>
              <w:rPr>
                <w:sz w:val="20"/>
                <w:szCs w:val="20"/>
                <w:color w:val="auto"/>
              </w:rPr>
            </w:pPr>
            <w:r>
              <w:rPr>
                <w:rFonts w:ascii="Courier New" w:cs="Courier New" w:eastAsia="Courier New" w:hAnsi="Courier New"/>
                <w:sz w:val="15"/>
                <w:szCs w:val="15"/>
                <w:color w:val="auto"/>
                <w:w w:val="99"/>
              </w:rPr>
              <w:t>year ended December 31, 1984, File No.</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1-644-2.)</w:t>
            </w:r>
          </w:p>
        </w:tc>
      </w:tr>
    </w:tbl>
    <w:p>
      <w:pPr>
        <w:spacing w:after="0" w:line="176" w:lineRule="exact"/>
        <w:rPr>
          <w:sz w:val="20"/>
          <w:szCs w:val="20"/>
          <w:color w:val="auto"/>
        </w:rPr>
      </w:pPr>
    </w:p>
    <w:p>
      <w:pPr>
        <w:ind w:left="1080" w:right="3339" w:hanging="1079"/>
        <w:spacing w:after="0" w:line="242" w:lineRule="auto"/>
        <w:tabs>
          <w:tab w:leader="none" w:pos="10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Colgate-Palmolive Company Supplemental Salaried Employees Retirement Plan Trust. (Registrant hereby incorporates by reference Exhibit 10-C (b) to its Annual Report on Form 10-K for the year ended December 31, 1987, File No. 1-644-2.)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0" w:type="dxa"/>
            <w:vAlign w:val="bottom"/>
          </w:tcPr>
          <w:p>
            <w:pPr>
              <w:spacing w:after="0"/>
              <w:rPr>
                <w:sz w:val="20"/>
                <w:szCs w:val="20"/>
                <w:color w:val="auto"/>
              </w:rPr>
            </w:pPr>
            <w:r>
              <w:rPr>
                <w:rFonts w:ascii="Courier New" w:cs="Courier New" w:eastAsia="Courier New" w:hAnsi="Courier New"/>
                <w:sz w:val="15"/>
                <w:szCs w:val="15"/>
                <w:color w:val="auto"/>
              </w:rPr>
              <w:t>10-C(a)</w:t>
            </w:r>
          </w:p>
        </w:tc>
        <w:tc>
          <w:tcPr>
            <w:tcW w:w="6120" w:type="dxa"/>
            <w:vAlign w:val="bottom"/>
          </w:tcPr>
          <w:p>
            <w:pPr>
              <w:ind w:left="220"/>
              <w:spacing w:after="0"/>
              <w:rPr>
                <w:sz w:val="20"/>
                <w:szCs w:val="20"/>
                <w:color w:val="auto"/>
              </w:rPr>
            </w:pPr>
            <w:r>
              <w:rPr>
                <w:rFonts w:ascii="Courier New" w:cs="Courier New" w:eastAsia="Courier New" w:hAnsi="Courier New"/>
                <w:sz w:val="15"/>
                <w:szCs w:val="15"/>
                <w:color w:val="auto"/>
                <w:w w:val="98"/>
              </w:rPr>
              <w:t>Colgate-Palmolive Company Executive Severance Plan, as amended and</w:t>
            </w:r>
          </w:p>
        </w:tc>
      </w:tr>
      <w:tr>
        <w:trPr>
          <w:trHeight w:val="172"/>
        </w:trPr>
        <w:tc>
          <w:tcPr>
            <w:tcW w:w="860" w:type="dxa"/>
            <w:vAlign w:val="bottom"/>
          </w:tcPr>
          <w:p>
            <w:pPr>
              <w:spacing w:after="0"/>
              <w:rPr>
                <w:sz w:val="14"/>
                <w:szCs w:val="14"/>
                <w:color w:val="auto"/>
              </w:rPr>
            </w:pPr>
          </w:p>
        </w:tc>
        <w:tc>
          <w:tcPr>
            <w:tcW w:w="6120" w:type="dxa"/>
            <w:vAlign w:val="bottom"/>
          </w:tcPr>
          <w:p>
            <w:pPr>
              <w:ind w:left="220"/>
              <w:spacing w:after="0"/>
              <w:rPr>
                <w:sz w:val="20"/>
                <w:szCs w:val="20"/>
                <w:color w:val="auto"/>
              </w:rPr>
            </w:pPr>
            <w:r>
              <w:rPr>
                <w:rFonts w:ascii="Courier New" w:cs="Courier New" w:eastAsia="Courier New" w:hAnsi="Courier New"/>
                <w:sz w:val="15"/>
                <w:szCs w:val="15"/>
                <w:color w:val="auto"/>
                <w:w w:val="98"/>
              </w:rPr>
              <w:t>restated. (Registrant hereby incorporates by reference Exhibit 10-</w:t>
            </w:r>
          </w:p>
        </w:tc>
      </w:tr>
      <w:tr>
        <w:trPr>
          <w:trHeight w:val="172"/>
        </w:trPr>
        <w:tc>
          <w:tcPr>
            <w:tcW w:w="860" w:type="dxa"/>
            <w:vAlign w:val="bottom"/>
          </w:tcPr>
          <w:p>
            <w:pPr>
              <w:spacing w:after="0"/>
              <w:rPr>
                <w:sz w:val="14"/>
                <w:szCs w:val="14"/>
                <w:color w:val="auto"/>
              </w:rPr>
            </w:pPr>
          </w:p>
        </w:tc>
        <w:tc>
          <w:tcPr>
            <w:tcW w:w="6120" w:type="dxa"/>
            <w:vAlign w:val="bottom"/>
          </w:tcPr>
          <w:p>
            <w:pPr>
              <w:ind w:left="220"/>
              <w:spacing w:after="0"/>
              <w:rPr>
                <w:sz w:val="20"/>
                <w:szCs w:val="20"/>
                <w:color w:val="auto"/>
              </w:rPr>
            </w:pPr>
            <w:r>
              <w:rPr>
                <w:rFonts w:ascii="Courier New" w:cs="Courier New" w:eastAsia="Courier New" w:hAnsi="Courier New"/>
                <w:sz w:val="15"/>
                <w:szCs w:val="15"/>
                <w:color w:val="auto"/>
              </w:rPr>
              <w:t>E (a) to its Quarterly Report on Form 10-Q for the quarter ended</w:t>
            </w:r>
          </w:p>
        </w:tc>
      </w:tr>
      <w:tr>
        <w:trPr>
          <w:trHeight w:val="172"/>
        </w:trPr>
        <w:tc>
          <w:tcPr>
            <w:tcW w:w="860" w:type="dxa"/>
            <w:vAlign w:val="bottom"/>
          </w:tcPr>
          <w:p>
            <w:pPr>
              <w:spacing w:after="0"/>
              <w:rPr>
                <w:sz w:val="14"/>
                <w:szCs w:val="14"/>
                <w:color w:val="auto"/>
              </w:rPr>
            </w:pPr>
          </w:p>
        </w:tc>
        <w:tc>
          <w:tcPr>
            <w:tcW w:w="6120" w:type="dxa"/>
            <w:vAlign w:val="bottom"/>
          </w:tcPr>
          <w:p>
            <w:pPr>
              <w:ind w:left="220"/>
              <w:spacing w:after="0"/>
              <w:rPr>
                <w:sz w:val="20"/>
                <w:szCs w:val="20"/>
                <w:color w:val="auto"/>
              </w:rPr>
            </w:pPr>
            <w:r>
              <w:rPr>
                <w:rFonts w:ascii="Courier New" w:cs="Courier New" w:eastAsia="Courier New" w:hAnsi="Courier New"/>
                <w:sz w:val="15"/>
                <w:szCs w:val="15"/>
                <w:color w:val="auto"/>
              </w:rPr>
              <w:t>June 30, 1998, File No. 1-644.)</w:t>
            </w:r>
          </w:p>
        </w:tc>
      </w:tr>
    </w:tbl>
    <w:p>
      <w:pPr>
        <w:spacing w:after="0" w:line="176" w:lineRule="exact"/>
        <w:rPr>
          <w:sz w:val="20"/>
          <w:szCs w:val="20"/>
          <w:color w:val="auto"/>
        </w:rPr>
      </w:pPr>
    </w:p>
    <w:p>
      <w:pPr>
        <w:ind w:left="1080" w:right="3339" w:hanging="1079"/>
        <w:spacing w:after="0" w:line="242" w:lineRule="auto"/>
        <w:tabs>
          <w:tab w:leader="none" w:pos="10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Colgate-Palmolive Company Executive Severance Plan Trust. (Registrant hereby incorporates by reference Exhibit 10-E (b) to its Annual Report on Form 10-K for the year ended December 31, 1987, File No. 1-644-2.)</w:t>
      </w:r>
    </w:p>
    <w:p>
      <w:pPr>
        <w:spacing w:after="0" w:line="175" w:lineRule="exact"/>
        <w:rPr>
          <w:sz w:val="20"/>
          <w:szCs w:val="20"/>
          <w:color w:val="auto"/>
        </w:rPr>
      </w:pPr>
    </w:p>
    <w:p>
      <w:pPr>
        <w:ind w:left="1080" w:right="3159" w:hanging="1072"/>
        <w:spacing w:after="0" w:line="242" w:lineRule="auto"/>
        <w:tabs>
          <w:tab w:leader="none" w:pos="1060" w:val="left"/>
        </w:tabs>
        <w:rPr>
          <w:sz w:val="20"/>
          <w:szCs w:val="20"/>
          <w:color w:val="auto"/>
        </w:rPr>
      </w:pPr>
      <w:r>
        <w:rPr>
          <w:rFonts w:ascii="Courier New" w:cs="Courier New" w:eastAsia="Courier New" w:hAnsi="Courier New"/>
          <w:sz w:val="15"/>
          <w:szCs w:val="15"/>
          <w:color w:val="auto"/>
        </w:rPr>
        <w:t>10-D</w:t>
      </w:r>
      <w:r>
        <w:rPr>
          <w:sz w:val="20"/>
          <w:szCs w:val="20"/>
          <w:color w:val="auto"/>
        </w:rPr>
        <w:tab/>
      </w:r>
      <w:r>
        <w:rPr>
          <w:rFonts w:ascii="Courier New" w:cs="Courier New" w:eastAsia="Courier New" w:hAnsi="Courier New"/>
          <w:sz w:val="15"/>
          <w:szCs w:val="15"/>
          <w:color w:val="auto"/>
        </w:rPr>
        <w:t>Colgate-Palmolive Company Pension Plan for Outside Directors, as amended and restated. (Registrant hereby incorporates by reference Exhibit 10-D to its Annual Report on Form 10-K for the year ended December 31, 1999, File No. 1-644-2.)</w:t>
      </w:r>
    </w:p>
    <w:p>
      <w:pPr>
        <w:spacing w:after="0" w:line="175" w:lineRule="exact"/>
        <w:rPr>
          <w:sz w:val="20"/>
          <w:szCs w:val="20"/>
          <w:color w:val="auto"/>
        </w:rPr>
      </w:pPr>
    </w:p>
    <w:p>
      <w:pPr>
        <w:jc w:val="both"/>
        <w:ind w:left="1080" w:right="3339" w:hanging="1072"/>
        <w:spacing w:after="0" w:line="242" w:lineRule="auto"/>
        <w:tabs>
          <w:tab w:leader="none" w:pos="1060"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Colgate-Palmolive Company Stock Plan for Non-Employee Directors. (Registrant hereby incorporates by reference Exhibit 10-G to its Annual Report on Form 10-K for the year ended December 31, 1997, File No. 1-644.)</w:t>
      </w:r>
    </w:p>
    <w:p>
      <w:pPr>
        <w:spacing w:after="0" w:line="175" w:lineRule="exact"/>
        <w:rPr>
          <w:sz w:val="20"/>
          <w:szCs w:val="20"/>
          <w:color w:val="auto"/>
        </w:rPr>
      </w:pPr>
    </w:p>
    <w:p>
      <w:pPr>
        <w:ind w:left="1080" w:right="3339" w:hanging="1072"/>
        <w:spacing w:after="0" w:line="242" w:lineRule="auto"/>
        <w:tabs>
          <w:tab w:leader="none" w:pos="1060"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Colgate-Palmolive Company Restated and Amended Deferred Compensation Plan for Non-Employee Directors, as amended. (Registrant hereby incorporates by reference Exhibit 10-H to its Annual Report on Form 10-K for the year ended December 31, 1997, File No. 1-644.)</w:t>
      </w:r>
    </w:p>
    <w:p>
      <w:pPr>
        <w:spacing w:after="0" w:line="175" w:lineRule="exact"/>
        <w:rPr>
          <w:sz w:val="20"/>
          <w:szCs w:val="20"/>
          <w:color w:val="auto"/>
        </w:rPr>
      </w:pPr>
    </w:p>
    <w:p>
      <w:pPr>
        <w:ind w:left="1080" w:right="3339" w:hanging="1072"/>
        <w:spacing w:after="0" w:line="241" w:lineRule="auto"/>
        <w:tabs>
          <w:tab w:leader="none" w:pos="1060" w:val="left"/>
        </w:tabs>
        <w:rPr>
          <w:sz w:val="20"/>
          <w:szCs w:val="20"/>
          <w:color w:val="auto"/>
        </w:rPr>
      </w:pPr>
      <w:r>
        <w:rPr>
          <w:rFonts w:ascii="Courier New" w:cs="Courier New" w:eastAsia="Courier New" w:hAnsi="Courier New"/>
          <w:sz w:val="15"/>
          <w:szCs w:val="15"/>
          <w:color w:val="auto"/>
        </w:rPr>
        <w:t>10-G</w:t>
      </w:r>
      <w:r>
        <w:rPr>
          <w:sz w:val="20"/>
          <w:szCs w:val="20"/>
          <w:color w:val="auto"/>
        </w:rPr>
        <w:tab/>
      </w:r>
      <w:r>
        <w:rPr>
          <w:rFonts w:ascii="Courier New" w:cs="Courier New" w:eastAsia="Courier New" w:hAnsi="Courier New"/>
          <w:sz w:val="15"/>
          <w:szCs w:val="15"/>
          <w:color w:val="auto"/>
        </w:rPr>
        <w:t>Career Achievement Plan. (Registrant hereby incorporates by reference Exhibit 10-I to its Annual Report on Form 10-K for the year ended December 31, 1986, File No. 1-644-2.)</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139"/>
          </w:cols>
          <w:pgMar w:left="320" w:top="633" w:right="1440" w:bottom="0" w:gutter="0" w:footer="0" w:header="0"/>
          <w:type w:val="continuous"/>
        </w:sectPr>
      </w:pPr>
    </w:p>
    <w:bookmarkStart w:id="44" w:name="page45"/>
    <w:bookmarkEnd w:id="44"/>
    <w:tbl>
      <w:tblPr>
        <w:tblLayout w:type="fixed"/>
        <w:tblInd w:w="88"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2340" w:type="dxa"/>
            <w:vAlign w:val="bottom"/>
          </w:tcPr>
          <w:p>
            <w:pPr>
              <w:spacing w:after="0"/>
              <w:rPr>
                <w:sz w:val="14"/>
                <w:szCs w:val="14"/>
                <w:color w:val="auto"/>
              </w:rPr>
            </w:pPr>
          </w:p>
        </w:tc>
        <w:tc>
          <w:tcPr>
            <w:tcW w:w="3440" w:type="dxa"/>
            <w:vAlign w:val="bottom"/>
          </w:tcPr>
          <w:p>
            <w:pPr>
              <w:ind w:left="22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14"/>
                <w:szCs w:val="14"/>
                <w:color w:val="auto"/>
              </w:rPr>
            </w:pPr>
          </w:p>
        </w:tc>
        <w:tc>
          <w:tcPr>
            <w:tcW w:w="3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688"/>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10-H</w:t>
            </w:r>
          </w:p>
        </w:tc>
        <w:tc>
          <w:tcPr>
            <w:tcW w:w="2340" w:type="dxa"/>
            <w:vAlign w:val="bottom"/>
          </w:tcPr>
          <w:p>
            <w:pPr>
              <w:ind w:left="60"/>
              <w:spacing w:after="0"/>
              <w:rPr>
                <w:sz w:val="20"/>
                <w:szCs w:val="20"/>
                <w:color w:val="auto"/>
              </w:rPr>
            </w:pPr>
            <w:r>
              <w:rPr>
                <w:rFonts w:ascii="Courier New" w:cs="Courier New" w:eastAsia="Courier New" w:hAnsi="Courier New"/>
                <w:sz w:val="15"/>
                <w:szCs w:val="15"/>
                <w:color w:val="auto"/>
              </w:rPr>
              <w:t>Colgate-Palmolive Company</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1987 Stock Option Plan, as amended.</w:t>
            </w:r>
          </w:p>
        </w:tc>
      </w:tr>
      <w:tr>
        <w:trPr>
          <w:trHeight w:val="172"/>
        </w:trPr>
        <w:tc>
          <w:tcPr>
            <w:tcW w:w="1020" w:type="dxa"/>
            <w:vAlign w:val="bottom"/>
          </w:tcPr>
          <w:p>
            <w:pPr>
              <w:spacing w:after="0"/>
              <w:rPr>
                <w:sz w:val="14"/>
                <w:szCs w:val="14"/>
                <w:color w:val="auto"/>
              </w:rPr>
            </w:pPr>
          </w:p>
        </w:tc>
        <w:tc>
          <w:tcPr>
            <w:tcW w:w="57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(Registrant hereby incorporates by reference Exhibit 10-J to its</w:t>
            </w:r>
          </w:p>
        </w:tc>
      </w:tr>
      <w:tr>
        <w:trPr>
          <w:trHeight w:val="172"/>
        </w:trPr>
        <w:tc>
          <w:tcPr>
            <w:tcW w:w="1020" w:type="dxa"/>
            <w:vAlign w:val="bottom"/>
          </w:tcPr>
          <w:p>
            <w:pPr>
              <w:spacing w:after="0"/>
              <w:rPr>
                <w:sz w:val="14"/>
                <w:szCs w:val="14"/>
                <w:color w:val="auto"/>
              </w:rPr>
            </w:pPr>
          </w:p>
        </w:tc>
        <w:tc>
          <w:tcPr>
            <w:tcW w:w="57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Annual Report on Form 10-K for the year ended December 31, 1997,</w:t>
            </w:r>
          </w:p>
        </w:tc>
      </w:tr>
      <w:tr>
        <w:trPr>
          <w:trHeight w:val="172"/>
        </w:trPr>
        <w:tc>
          <w:tcPr>
            <w:tcW w:w="102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Courier New" w:cs="Courier New" w:eastAsia="Courier New" w:hAnsi="Courier New"/>
                <w:sz w:val="15"/>
                <w:szCs w:val="15"/>
                <w:color w:val="auto"/>
              </w:rPr>
              <w:t>File No. 1-644.)</w:t>
            </w:r>
          </w:p>
        </w:tc>
        <w:tc>
          <w:tcPr>
            <w:tcW w:w="3440" w:type="dxa"/>
            <w:vAlign w:val="bottom"/>
          </w:tcPr>
          <w:p>
            <w:pPr>
              <w:spacing w:after="0"/>
              <w:rPr>
                <w:sz w:val="14"/>
                <w:szCs w:val="14"/>
                <w:color w:val="auto"/>
              </w:rPr>
            </w:pP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10-I(a)</w:t>
            </w:r>
          </w:p>
        </w:tc>
        <w:tc>
          <w:tcPr>
            <w:tcW w:w="2340" w:type="dxa"/>
            <w:vAlign w:val="bottom"/>
          </w:tcPr>
          <w:p>
            <w:pPr>
              <w:ind w:left="60"/>
              <w:spacing w:after="0"/>
              <w:rPr>
                <w:sz w:val="20"/>
                <w:szCs w:val="20"/>
                <w:color w:val="auto"/>
              </w:rPr>
            </w:pPr>
            <w:r>
              <w:rPr>
                <w:rFonts w:ascii="Courier New" w:cs="Courier New" w:eastAsia="Courier New" w:hAnsi="Courier New"/>
                <w:sz w:val="15"/>
                <w:szCs w:val="15"/>
                <w:color w:val="auto"/>
              </w:rPr>
              <w:t>Stock Incentive Agreement</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between Colgate-Palmolive Company and</w:t>
            </w:r>
          </w:p>
        </w:tc>
      </w:tr>
      <w:tr>
        <w:trPr>
          <w:trHeight w:val="172"/>
        </w:trPr>
        <w:tc>
          <w:tcPr>
            <w:tcW w:w="102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Courier New" w:cs="Courier New" w:eastAsia="Courier New" w:hAnsi="Courier New"/>
                <w:sz w:val="15"/>
                <w:szCs w:val="15"/>
                <w:color w:val="auto"/>
              </w:rPr>
              <w:t>Reuben Mark, Chairman and</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w w:val="98"/>
              </w:rPr>
              <w:t>Chief Executive Officer, dated January</w:t>
            </w:r>
          </w:p>
        </w:tc>
      </w:tr>
      <w:tr>
        <w:trPr>
          <w:trHeight w:val="172"/>
        </w:trPr>
        <w:tc>
          <w:tcPr>
            <w:tcW w:w="102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Courier New" w:cs="Courier New" w:eastAsia="Courier New" w:hAnsi="Courier New"/>
                <w:sz w:val="15"/>
                <w:szCs w:val="15"/>
                <w:color w:val="auto"/>
              </w:rPr>
              <w:t>13, 1993, pursuant to the</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Colgate-Palmolive Company 1987 Stock</w:t>
            </w:r>
          </w:p>
        </w:tc>
      </w:tr>
      <w:tr>
        <w:trPr>
          <w:trHeight w:val="172"/>
        </w:trPr>
        <w:tc>
          <w:tcPr>
            <w:tcW w:w="1020" w:type="dxa"/>
            <w:vAlign w:val="bottom"/>
          </w:tcPr>
          <w:p>
            <w:pPr>
              <w:spacing w:after="0"/>
              <w:rPr>
                <w:sz w:val="14"/>
                <w:szCs w:val="14"/>
                <w:color w:val="auto"/>
              </w:rPr>
            </w:pPr>
          </w:p>
        </w:tc>
        <w:tc>
          <w:tcPr>
            <w:tcW w:w="57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Option Plan, as amended. (Registrant hereby incorporates by</w:t>
            </w:r>
          </w:p>
        </w:tc>
      </w:tr>
      <w:tr>
        <w:trPr>
          <w:trHeight w:val="172"/>
        </w:trPr>
        <w:tc>
          <w:tcPr>
            <w:tcW w:w="102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Courier New" w:cs="Courier New" w:eastAsia="Courier New" w:hAnsi="Courier New"/>
                <w:sz w:val="15"/>
                <w:szCs w:val="15"/>
                <w:color w:val="auto"/>
              </w:rPr>
              <w:t>reference Exhibit 10-N to</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w w:val="98"/>
              </w:rPr>
              <w:t>its Annual Report on Form 10-K for the</w:t>
            </w:r>
          </w:p>
        </w:tc>
      </w:tr>
      <w:tr>
        <w:trPr>
          <w:trHeight w:val="172"/>
        </w:trPr>
        <w:tc>
          <w:tcPr>
            <w:tcW w:w="1020" w:type="dxa"/>
            <w:vAlign w:val="bottom"/>
          </w:tcPr>
          <w:p>
            <w:pPr>
              <w:spacing w:after="0"/>
              <w:rPr>
                <w:sz w:val="14"/>
                <w:szCs w:val="14"/>
                <w:color w:val="auto"/>
              </w:rPr>
            </w:pPr>
          </w:p>
        </w:tc>
        <w:tc>
          <w:tcPr>
            <w:tcW w:w="57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year ended December 31, 1993, File No. 1-644-2.)</w:t>
            </w:r>
          </w:p>
        </w:tc>
      </w:tr>
    </w:tbl>
    <w:p>
      <w:pPr>
        <w:spacing w:after="0" w:line="176" w:lineRule="exact"/>
        <w:rPr>
          <w:sz w:val="20"/>
          <w:szCs w:val="20"/>
          <w:color w:val="auto"/>
        </w:rPr>
      </w:pPr>
    </w:p>
    <w:p>
      <w:pPr>
        <w:ind w:left="1168" w:right="3259" w:hanging="1079"/>
        <w:spacing w:after="0" w:line="242" w:lineRule="auto"/>
        <w:tabs>
          <w:tab w:leader="none" w:pos="116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Incentive Agreement between Colgate-Palmolive Company and Reuben Mark, Chairman and Chief Executive Officer, dated November 7, 1997, pursuant to the Colgate-Palmolive Company 1997 Stock Option Plan. (Registrant hereby incorporates by reference Exhibit 10-K(b) to its Annual Report on Form 10-K for the year ended December 31, 1997, File No. 1-644.)</w:t>
      </w:r>
    </w:p>
    <w:p>
      <w:pPr>
        <w:spacing w:after="0" w:line="174" w:lineRule="exact"/>
        <w:rPr>
          <w:sz w:val="20"/>
          <w:szCs w:val="20"/>
          <w:color w:val="auto"/>
        </w:rPr>
      </w:pPr>
    </w:p>
    <w:tbl>
      <w:tblPr>
        <w:tblLayout w:type="fixed"/>
        <w:tblInd w:w="88" w:type="dxa"/>
        <w:tblCellMar>
          <w:top w:w="0" w:type="dxa"/>
          <w:left w:w="0" w:type="dxa"/>
          <w:bottom w:w="0" w:type="dxa"/>
          <w:right w:w="0" w:type="dxa"/>
        </w:tblCellMar>
      </w:tblPr>
      <w:tr>
        <w:trPr>
          <w:trHeight w:val="170"/>
        </w:trPr>
        <w:tc>
          <w:tcPr>
            <w:tcW w:w="860" w:type="dxa"/>
            <w:vAlign w:val="bottom"/>
          </w:tcPr>
          <w:p>
            <w:pPr>
              <w:spacing w:after="0"/>
              <w:rPr>
                <w:sz w:val="20"/>
                <w:szCs w:val="20"/>
                <w:color w:val="auto"/>
              </w:rPr>
            </w:pPr>
            <w:r>
              <w:rPr>
                <w:rFonts w:ascii="Courier New" w:cs="Courier New" w:eastAsia="Courier New" w:hAnsi="Courier New"/>
                <w:sz w:val="15"/>
                <w:szCs w:val="15"/>
                <w:color w:val="auto"/>
              </w:rPr>
              <w:t>10-J</w:t>
            </w:r>
          </w:p>
        </w:tc>
        <w:tc>
          <w:tcPr>
            <w:tcW w:w="6120" w:type="dxa"/>
            <w:vAlign w:val="bottom"/>
          </w:tcPr>
          <w:p>
            <w:pPr>
              <w:ind w:left="220"/>
              <w:spacing w:after="0"/>
              <w:rPr>
                <w:sz w:val="20"/>
                <w:szCs w:val="20"/>
                <w:color w:val="auto"/>
              </w:rPr>
            </w:pPr>
            <w:r>
              <w:rPr>
                <w:rFonts w:ascii="Courier New" w:cs="Courier New" w:eastAsia="Courier New" w:hAnsi="Courier New"/>
                <w:sz w:val="15"/>
                <w:szCs w:val="15"/>
                <w:color w:val="auto"/>
                <w:w w:val="98"/>
              </w:rPr>
              <w:t>Colgate-Palmolive Company Non-Employee Director Stock Option Plan,</w:t>
            </w:r>
          </w:p>
        </w:tc>
      </w:tr>
      <w:tr>
        <w:trPr>
          <w:trHeight w:val="172"/>
        </w:trPr>
        <w:tc>
          <w:tcPr>
            <w:tcW w:w="860" w:type="dxa"/>
            <w:vAlign w:val="bottom"/>
          </w:tcPr>
          <w:p>
            <w:pPr>
              <w:spacing w:after="0"/>
              <w:rPr>
                <w:sz w:val="14"/>
                <w:szCs w:val="14"/>
                <w:color w:val="auto"/>
              </w:rPr>
            </w:pPr>
          </w:p>
        </w:tc>
        <w:tc>
          <w:tcPr>
            <w:tcW w:w="6120" w:type="dxa"/>
            <w:vAlign w:val="bottom"/>
          </w:tcPr>
          <w:p>
            <w:pPr>
              <w:ind w:left="220"/>
              <w:spacing w:after="0"/>
              <w:rPr>
                <w:sz w:val="20"/>
                <w:szCs w:val="20"/>
                <w:color w:val="auto"/>
              </w:rPr>
            </w:pPr>
            <w:r>
              <w:rPr>
                <w:rFonts w:ascii="Courier New" w:cs="Courier New" w:eastAsia="Courier New" w:hAnsi="Courier New"/>
                <w:sz w:val="15"/>
                <w:szCs w:val="15"/>
                <w:color w:val="auto"/>
              </w:rPr>
              <w:t>as amended. (Registrant hereby incorporates by reference Exhibit</w:t>
            </w:r>
          </w:p>
        </w:tc>
      </w:tr>
      <w:tr>
        <w:trPr>
          <w:trHeight w:val="172"/>
        </w:trPr>
        <w:tc>
          <w:tcPr>
            <w:tcW w:w="860" w:type="dxa"/>
            <w:vAlign w:val="bottom"/>
          </w:tcPr>
          <w:p>
            <w:pPr>
              <w:spacing w:after="0"/>
              <w:rPr>
                <w:sz w:val="14"/>
                <w:szCs w:val="14"/>
                <w:color w:val="auto"/>
              </w:rPr>
            </w:pPr>
          </w:p>
        </w:tc>
        <w:tc>
          <w:tcPr>
            <w:tcW w:w="6120" w:type="dxa"/>
            <w:vAlign w:val="bottom"/>
          </w:tcPr>
          <w:p>
            <w:pPr>
              <w:ind w:left="220"/>
              <w:spacing w:after="0"/>
              <w:rPr>
                <w:sz w:val="20"/>
                <w:szCs w:val="20"/>
                <w:color w:val="auto"/>
              </w:rPr>
            </w:pPr>
            <w:r>
              <w:rPr>
                <w:rFonts w:ascii="Courier New" w:cs="Courier New" w:eastAsia="Courier New" w:hAnsi="Courier New"/>
                <w:sz w:val="15"/>
                <w:szCs w:val="15"/>
                <w:color w:val="auto"/>
                <w:w w:val="98"/>
              </w:rPr>
              <w:t>10-L to its Annual Report on Form 10-K for the year ended December</w:t>
            </w:r>
          </w:p>
        </w:tc>
      </w:tr>
      <w:tr>
        <w:trPr>
          <w:trHeight w:val="172"/>
        </w:trPr>
        <w:tc>
          <w:tcPr>
            <w:tcW w:w="860" w:type="dxa"/>
            <w:vAlign w:val="bottom"/>
          </w:tcPr>
          <w:p>
            <w:pPr>
              <w:spacing w:after="0"/>
              <w:rPr>
                <w:sz w:val="14"/>
                <w:szCs w:val="14"/>
                <w:color w:val="auto"/>
              </w:rPr>
            </w:pPr>
          </w:p>
        </w:tc>
        <w:tc>
          <w:tcPr>
            <w:tcW w:w="6120" w:type="dxa"/>
            <w:vAlign w:val="bottom"/>
          </w:tcPr>
          <w:p>
            <w:pPr>
              <w:ind w:left="220"/>
              <w:spacing w:after="0"/>
              <w:rPr>
                <w:sz w:val="20"/>
                <w:szCs w:val="20"/>
                <w:color w:val="auto"/>
              </w:rPr>
            </w:pPr>
            <w:r>
              <w:rPr>
                <w:rFonts w:ascii="Courier New" w:cs="Courier New" w:eastAsia="Courier New" w:hAnsi="Courier New"/>
                <w:sz w:val="15"/>
                <w:szCs w:val="15"/>
                <w:color w:val="auto"/>
              </w:rPr>
              <w:t>31, 1997, File No. 1-644.)</w:t>
            </w:r>
          </w:p>
        </w:tc>
      </w:tr>
      <w:tr>
        <w:trPr>
          <w:trHeight w:val="344"/>
        </w:trPr>
        <w:tc>
          <w:tcPr>
            <w:tcW w:w="860" w:type="dxa"/>
            <w:vAlign w:val="bottom"/>
          </w:tcPr>
          <w:p>
            <w:pPr>
              <w:spacing w:after="0"/>
              <w:rPr>
                <w:sz w:val="20"/>
                <w:szCs w:val="20"/>
                <w:color w:val="auto"/>
              </w:rPr>
            </w:pPr>
            <w:r>
              <w:rPr>
                <w:rFonts w:ascii="Courier New" w:cs="Courier New" w:eastAsia="Courier New" w:hAnsi="Courier New"/>
                <w:sz w:val="15"/>
                <w:szCs w:val="15"/>
                <w:color w:val="auto"/>
              </w:rPr>
              <w:t>10-K(a)</w:t>
            </w:r>
          </w:p>
        </w:tc>
        <w:tc>
          <w:tcPr>
            <w:tcW w:w="6120" w:type="dxa"/>
            <w:vAlign w:val="bottom"/>
          </w:tcPr>
          <w:p>
            <w:pPr>
              <w:ind w:left="220"/>
              <w:spacing w:after="0"/>
              <w:rPr>
                <w:sz w:val="20"/>
                <w:szCs w:val="20"/>
                <w:color w:val="auto"/>
              </w:rPr>
            </w:pPr>
            <w:r>
              <w:rPr>
                <w:rFonts w:ascii="Courier New" w:cs="Courier New" w:eastAsia="Courier New" w:hAnsi="Courier New"/>
                <w:sz w:val="15"/>
                <w:szCs w:val="15"/>
                <w:color w:val="auto"/>
              </w:rPr>
              <w:t>U.S. $800,000,000 Five Year Credit Agreement dated as of May 30,</w:t>
            </w:r>
          </w:p>
        </w:tc>
      </w:tr>
      <w:tr>
        <w:trPr>
          <w:trHeight w:val="172"/>
        </w:trPr>
        <w:tc>
          <w:tcPr>
            <w:tcW w:w="860" w:type="dxa"/>
            <w:vAlign w:val="bottom"/>
          </w:tcPr>
          <w:p>
            <w:pPr>
              <w:spacing w:after="0"/>
              <w:rPr>
                <w:sz w:val="14"/>
                <w:szCs w:val="14"/>
                <w:color w:val="auto"/>
              </w:rPr>
            </w:pPr>
          </w:p>
        </w:tc>
        <w:tc>
          <w:tcPr>
            <w:tcW w:w="6120" w:type="dxa"/>
            <w:vAlign w:val="bottom"/>
          </w:tcPr>
          <w:p>
            <w:pPr>
              <w:ind w:left="220"/>
              <w:spacing w:after="0"/>
              <w:rPr>
                <w:sz w:val="20"/>
                <w:szCs w:val="20"/>
                <w:color w:val="auto"/>
              </w:rPr>
            </w:pPr>
            <w:r>
              <w:rPr>
                <w:rFonts w:ascii="Courier New" w:cs="Courier New" w:eastAsia="Courier New" w:hAnsi="Courier New"/>
                <w:sz w:val="15"/>
                <w:szCs w:val="15"/>
                <w:color w:val="auto"/>
                <w:w w:val="98"/>
              </w:rPr>
              <w:t>1997. (Registrant hereby incorporates by reference Exhibit 10-N to</w:t>
            </w:r>
          </w:p>
        </w:tc>
      </w:tr>
      <w:tr>
        <w:trPr>
          <w:trHeight w:val="172"/>
        </w:trPr>
        <w:tc>
          <w:tcPr>
            <w:tcW w:w="860" w:type="dxa"/>
            <w:vAlign w:val="bottom"/>
          </w:tcPr>
          <w:p>
            <w:pPr>
              <w:spacing w:after="0"/>
              <w:rPr>
                <w:sz w:val="14"/>
                <w:szCs w:val="14"/>
                <w:color w:val="auto"/>
              </w:rPr>
            </w:pPr>
          </w:p>
        </w:tc>
        <w:tc>
          <w:tcPr>
            <w:tcW w:w="6120" w:type="dxa"/>
            <w:vAlign w:val="bottom"/>
          </w:tcPr>
          <w:p>
            <w:pPr>
              <w:ind w:left="220"/>
              <w:spacing w:after="0"/>
              <w:rPr>
                <w:sz w:val="20"/>
                <w:szCs w:val="20"/>
                <w:color w:val="auto"/>
              </w:rPr>
            </w:pPr>
            <w:r>
              <w:rPr>
                <w:rFonts w:ascii="Courier New" w:cs="Courier New" w:eastAsia="Courier New" w:hAnsi="Courier New"/>
                <w:sz w:val="15"/>
                <w:szCs w:val="15"/>
                <w:color w:val="auto"/>
              </w:rPr>
              <w:t>its Quarterly Report on Form 10-Q for the quarter ended June 30,</w:t>
            </w:r>
          </w:p>
        </w:tc>
      </w:tr>
      <w:tr>
        <w:trPr>
          <w:trHeight w:val="172"/>
        </w:trPr>
        <w:tc>
          <w:tcPr>
            <w:tcW w:w="860" w:type="dxa"/>
            <w:vAlign w:val="bottom"/>
          </w:tcPr>
          <w:p>
            <w:pPr>
              <w:spacing w:after="0"/>
              <w:rPr>
                <w:sz w:val="14"/>
                <w:szCs w:val="14"/>
                <w:color w:val="auto"/>
              </w:rPr>
            </w:pPr>
          </w:p>
        </w:tc>
        <w:tc>
          <w:tcPr>
            <w:tcW w:w="6120" w:type="dxa"/>
            <w:vAlign w:val="bottom"/>
          </w:tcPr>
          <w:p>
            <w:pPr>
              <w:ind w:left="220"/>
              <w:spacing w:after="0"/>
              <w:rPr>
                <w:sz w:val="20"/>
                <w:szCs w:val="20"/>
                <w:color w:val="auto"/>
              </w:rPr>
            </w:pPr>
            <w:r>
              <w:rPr>
                <w:rFonts w:ascii="Courier New" w:cs="Courier New" w:eastAsia="Courier New" w:hAnsi="Courier New"/>
                <w:sz w:val="15"/>
                <w:szCs w:val="15"/>
                <w:color w:val="auto"/>
              </w:rPr>
              <w:t>1997, File No. 1-644.)</w:t>
            </w:r>
          </w:p>
        </w:tc>
      </w:tr>
    </w:tbl>
    <w:p>
      <w:pPr>
        <w:spacing w:after="0" w:line="176" w:lineRule="exact"/>
        <w:rPr>
          <w:sz w:val="20"/>
          <w:szCs w:val="20"/>
          <w:color w:val="auto"/>
        </w:rPr>
      </w:pPr>
    </w:p>
    <w:p>
      <w:pPr>
        <w:ind w:left="1168" w:right="3259" w:hanging="1079"/>
        <w:spacing w:after="0" w:line="265" w:lineRule="auto"/>
        <w:tabs>
          <w:tab w:leader="none" w:pos="116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as of April 1, 1998 to the Five Year Credit Agreement dated as of May 30, 1997. (Registrant hereby incorporates reference Exhibit 10-M(b) to its Quarterly Report on Form 10-Q for the quarter ended March 31, 1998, File No. 1-644.)</w:t>
      </w:r>
    </w:p>
    <w:p>
      <w:pPr>
        <w:spacing w:after="0" w:line="160" w:lineRule="exact"/>
        <w:rPr>
          <w:sz w:val="20"/>
          <w:szCs w:val="20"/>
          <w:color w:val="auto"/>
        </w:rPr>
      </w:pPr>
    </w:p>
    <w:p>
      <w:pPr>
        <w:ind w:left="1168" w:right="3339" w:hanging="1072"/>
        <w:spacing w:after="0" w:line="242" w:lineRule="auto"/>
        <w:tabs>
          <w:tab w:leader="none" w:pos="1148" w:val="left"/>
        </w:tabs>
        <w:rPr>
          <w:sz w:val="20"/>
          <w:szCs w:val="20"/>
          <w:color w:val="auto"/>
        </w:rPr>
      </w:pPr>
      <w:r>
        <w:rPr>
          <w:rFonts w:ascii="Courier New" w:cs="Courier New" w:eastAsia="Courier New" w:hAnsi="Courier New"/>
          <w:sz w:val="15"/>
          <w:szCs w:val="15"/>
          <w:color w:val="auto"/>
        </w:rPr>
        <w:t>10-L</w:t>
      </w:r>
      <w:r>
        <w:rPr>
          <w:sz w:val="20"/>
          <w:szCs w:val="20"/>
          <w:color w:val="auto"/>
        </w:rPr>
        <w:tab/>
      </w:r>
      <w:r>
        <w:rPr>
          <w:rFonts w:ascii="Courier New" w:cs="Courier New" w:eastAsia="Courier New" w:hAnsi="Courier New"/>
          <w:sz w:val="15"/>
          <w:szCs w:val="15"/>
          <w:color w:val="auto"/>
        </w:rPr>
        <w:t>Colgate-Palmolive Company 1996 Stock Option Plan, as amended. (Registrant hereby incorporates by reference Exhibit 10-N to its Annual Report on Form 10-K for the year ended December 31, 1997, File No. 1-644.)</w:t>
      </w:r>
    </w:p>
    <w:p>
      <w:pPr>
        <w:spacing w:after="0" w:line="175" w:lineRule="exact"/>
        <w:rPr>
          <w:sz w:val="20"/>
          <w:szCs w:val="20"/>
          <w:color w:val="auto"/>
        </w:rPr>
      </w:pPr>
    </w:p>
    <w:p>
      <w:pPr>
        <w:ind w:left="1168" w:right="3259" w:hanging="1072"/>
        <w:spacing w:after="0" w:line="241" w:lineRule="auto"/>
        <w:tabs>
          <w:tab w:leader="none" w:pos="1148" w:val="left"/>
        </w:tabs>
        <w:rPr>
          <w:sz w:val="20"/>
          <w:szCs w:val="20"/>
          <w:color w:val="auto"/>
        </w:rPr>
      </w:pPr>
      <w:r>
        <w:rPr>
          <w:rFonts w:ascii="Courier New" w:cs="Courier New" w:eastAsia="Courier New" w:hAnsi="Courier New"/>
          <w:sz w:val="15"/>
          <w:szCs w:val="15"/>
          <w:color w:val="auto"/>
        </w:rPr>
        <w:t>10-M</w:t>
      </w:r>
      <w:r>
        <w:rPr>
          <w:sz w:val="20"/>
          <w:szCs w:val="20"/>
          <w:color w:val="auto"/>
        </w:rPr>
        <w:tab/>
      </w:r>
      <w:r>
        <w:rPr>
          <w:rFonts w:ascii="Courier New" w:cs="Courier New" w:eastAsia="Courier New" w:hAnsi="Courier New"/>
          <w:sz w:val="15"/>
          <w:szCs w:val="15"/>
          <w:color w:val="auto"/>
        </w:rPr>
        <w:t>Colgate-Palmolive Company 1997 Stock Option Plan. (Registrant hereby incorporates by reference appendix A to its 1997 Notice of Meeting and Proxy Statement.)</w:t>
      </w:r>
    </w:p>
    <w:p>
      <w:pPr>
        <w:spacing w:after="0" w:line="174" w:lineRule="exact"/>
        <w:rPr>
          <w:sz w:val="20"/>
          <w:szCs w:val="20"/>
          <w:color w:val="auto"/>
        </w:rPr>
      </w:pPr>
    </w:p>
    <w:p>
      <w:pPr>
        <w:ind w:left="1168" w:hanging="1079"/>
        <w:spacing w:after="0"/>
        <w:tabs>
          <w:tab w:leader="none" w:pos="11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 Computation of Ratio of Earnings to Fixed Charges.</w:t>
      </w:r>
    </w:p>
    <w:p>
      <w:pPr>
        <w:spacing w:after="0" w:line="346" w:lineRule="exact"/>
        <w:rPr>
          <w:rFonts w:ascii="Courier New" w:cs="Courier New" w:eastAsia="Courier New" w:hAnsi="Courier New"/>
          <w:sz w:val="15"/>
          <w:szCs w:val="15"/>
          <w:color w:val="auto"/>
        </w:rPr>
      </w:pPr>
    </w:p>
    <w:p>
      <w:pPr>
        <w:ind w:left="1168" w:hanging="1079"/>
        <w:spacing w:after="0"/>
        <w:tabs>
          <w:tab w:leader="none" w:pos="116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346" w:lineRule="exact"/>
        <w:rPr>
          <w:rFonts w:ascii="Courier New" w:cs="Courier New" w:eastAsia="Courier New" w:hAnsi="Courier New"/>
          <w:sz w:val="15"/>
          <w:szCs w:val="15"/>
          <w:color w:val="auto"/>
        </w:rPr>
      </w:pPr>
    </w:p>
    <w:p>
      <w:pPr>
        <w:ind w:left="1168" w:hanging="1079"/>
        <w:spacing w:after="0"/>
        <w:tabs>
          <w:tab w:leader="none" w:pos="11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Public Accountants.</w:t>
      </w:r>
    </w:p>
    <w:p>
      <w:pPr>
        <w:spacing w:after="0" w:line="346" w:lineRule="exact"/>
        <w:rPr>
          <w:sz w:val="20"/>
          <w:szCs w:val="20"/>
          <w:color w:val="auto"/>
        </w:rPr>
      </w:pPr>
    </w:p>
    <w:p>
      <w:pPr>
        <w:ind w:left="1168" w:hanging="1079"/>
        <w:spacing w:after="0"/>
        <w:tabs>
          <w:tab w:leader="none" w:pos="1168"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88" w:right="3259" w:hanging="188"/>
        <w:spacing w:after="0" w:line="242" w:lineRule="auto"/>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 hereby undertakes upon request to furnish the Commission with a copy of any instrument with respect to long-term debt where the total amount of securities authorized thereunder does not exceed 10% of the total assets of the registrant and its subsidiaries on a consolidated basis.</w:t>
      </w:r>
    </w:p>
    <w:p>
      <w:pPr>
        <w:spacing w:after="0" w:line="175" w:lineRule="exact"/>
        <w:rPr>
          <w:sz w:val="20"/>
          <w:szCs w:val="20"/>
          <w:color w:val="auto"/>
        </w:rPr>
      </w:pPr>
    </w:p>
    <w:p>
      <w:pPr>
        <w:ind w:left="8" w:right="3439" w:firstLine="268"/>
        <w:spacing w:after="0" w:line="242" w:lineRule="auto"/>
        <w:rPr>
          <w:sz w:val="20"/>
          <w:szCs w:val="20"/>
          <w:color w:val="auto"/>
        </w:rPr>
      </w:pPr>
      <w:r>
        <w:rPr>
          <w:rFonts w:ascii="Courier New" w:cs="Courier New" w:eastAsia="Courier New" w:hAnsi="Courier New"/>
          <w:sz w:val="15"/>
          <w:szCs w:val="15"/>
          <w:color w:val="auto"/>
        </w:rPr>
        <w:t>The exhibits indicated above that are not included with the Form 10-K are available upon request and payment of a reasonable fee approximating the registrant's cost of providing and mailing the exhibits. Inquiries should be directed to:</w:t>
      </w:r>
    </w:p>
    <w:p>
      <w:pPr>
        <w:spacing w:after="0" w:line="173"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Colgate-Palmolive Company</w:t>
      </w:r>
    </w:p>
    <w:p>
      <w:pPr>
        <w:spacing w:after="0" w:line="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Office of the Secretary (10-K</w:t>
      </w:r>
    </w:p>
    <w:p>
      <w:pPr>
        <w:spacing w:after="0" w:line="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Exhibits)</w:t>
      </w:r>
    </w:p>
    <w:p>
      <w:pPr>
        <w:spacing w:after="0" w:line="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300 Park Avenue</w:t>
      </w:r>
    </w:p>
    <w:p>
      <w:pPr>
        <w:spacing w:after="0" w:line="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New York, New York 10022-7499</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7"/>
          </w:cols>
          <w:pgMar w:left="232" w:top="1321" w:right="1440" w:bottom="1440" w:gutter="0" w:footer="0" w:header="0"/>
        </w:sectPr>
      </w:pPr>
    </w:p>
    <w:bookmarkStart w:id="45" w:name="page46"/>
    <w:bookmarkEnd w:id="45"/>
    <w:p>
      <w:pPr>
        <w:ind w:left="6080"/>
        <w:spacing w:after="0"/>
        <w:rPr>
          <w:sz w:val="20"/>
          <w:szCs w:val="20"/>
          <w:color w:val="auto"/>
        </w:rPr>
      </w:pPr>
      <w:r>
        <w:rPr>
          <w:rFonts w:ascii="Courier New" w:cs="Courier New" w:eastAsia="Courier New" w:hAnsi="Courier New"/>
          <w:sz w:val="14"/>
          <w:szCs w:val="14"/>
          <w:color w:val="auto"/>
        </w:rPr>
        <w:t>Exhibit 3(B)</w:t>
      </w:r>
    </w:p>
    <w:p>
      <w:pPr>
        <w:spacing w:after="0" w:line="184"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February 8, 2001</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BY-LAWS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OFFICES.</w:t>
      </w:r>
    </w:p>
    <w:p>
      <w:pPr>
        <w:spacing w:after="0" w:line="176" w:lineRule="exact"/>
        <w:rPr>
          <w:sz w:val="20"/>
          <w:szCs w:val="20"/>
          <w:color w:val="auto"/>
        </w:rPr>
      </w:pPr>
    </w:p>
    <w:p>
      <w:pPr>
        <w:ind w:right="3159" w:firstLine="797"/>
        <w:spacing w:after="0" w:line="241" w:lineRule="auto"/>
        <w:tabs>
          <w:tab w:leader="none" w:pos="107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registered office shall be in the City of Wilmington, County of New Castle, State of Delaware, and the name of the registered agent in charge thereof is THE CORPORATION TRUST COMPANY.</w:t>
      </w:r>
    </w:p>
    <w:p>
      <w:pPr>
        <w:spacing w:after="0" w:line="176"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The corporation may also have offices at such other places within or without the State of Delaware as the board of directors may from time to time determine or the business of the corporation may require.</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SEAL.</w:t>
      </w:r>
    </w:p>
    <w:p>
      <w:pPr>
        <w:spacing w:after="0" w:line="176" w:lineRule="exact"/>
        <w:rPr>
          <w:sz w:val="20"/>
          <w:szCs w:val="20"/>
          <w:color w:val="auto"/>
        </w:rPr>
      </w:pPr>
    </w:p>
    <w:p>
      <w:pPr>
        <w:ind w:right="3519" w:firstLine="797"/>
        <w:spacing w:after="0" w:line="241" w:lineRule="auto"/>
        <w:tabs>
          <w:tab w:leader="none" w:pos="1073"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corporate seal shall have inscribed thereon the name of the corporation, the year of its organization and the words "CORPORATE SEAL, DELAWARE".</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STOCKHOLDERS' MEETINGS.</w:t>
      </w:r>
    </w:p>
    <w:p>
      <w:pPr>
        <w:spacing w:after="0" w:line="176" w:lineRule="exact"/>
        <w:rPr>
          <w:sz w:val="20"/>
          <w:szCs w:val="20"/>
          <w:color w:val="auto"/>
        </w:rPr>
      </w:pPr>
    </w:p>
    <w:p>
      <w:pPr>
        <w:ind w:right="3079" w:firstLine="797"/>
        <w:spacing w:after="0" w:line="241" w:lineRule="auto"/>
        <w:tabs>
          <w:tab w:leader="none" w:pos="107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of stockholders may be held at such place within or without the State of Delaware as shall be determined from time to time by the board of directors.</w:t>
      </w:r>
    </w:p>
    <w:p>
      <w:pPr>
        <w:spacing w:after="0" w:line="176" w:lineRule="exact"/>
        <w:rPr>
          <w:rFonts w:ascii="Courier New" w:cs="Courier New" w:eastAsia="Courier New" w:hAnsi="Courier New"/>
          <w:sz w:val="15"/>
          <w:szCs w:val="15"/>
          <w:color w:val="auto"/>
        </w:rPr>
      </w:pPr>
    </w:p>
    <w:p>
      <w:pPr>
        <w:ind w:right="3079" w:firstLine="797"/>
        <w:spacing w:after="0" w:line="263" w:lineRule="auto"/>
        <w:tabs>
          <w:tab w:leader="none" w:pos="1073"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meeting of the stockholders shall be held on the fourth Wednesday of April in each year, if not a legal holiday, and if a legal holiday, then on the next secular day following, at ten o'clock in the forenoon (or on such other date or at such other time as the board of directors may determine) when they shall elect by plurality vote by ballot a board of directors and transact such other business as may properly be brought before the meeting.</w:t>
      </w:r>
    </w:p>
    <w:p>
      <w:pPr>
        <w:spacing w:after="0" w:line="161" w:lineRule="exact"/>
        <w:rPr>
          <w:rFonts w:ascii="Courier New" w:cs="Courier New" w:eastAsia="Courier New" w:hAnsi="Courier New"/>
          <w:sz w:val="14"/>
          <w:szCs w:val="14"/>
          <w:color w:val="auto"/>
        </w:rPr>
      </w:pPr>
    </w:p>
    <w:p>
      <w:pPr>
        <w:ind w:right="3159" w:firstLine="797"/>
        <w:spacing w:after="0" w:line="242" w:lineRule="auto"/>
        <w:tabs>
          <w:tab w:leader="none" w:pos="107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notice of the annual meeting shall be mailed to each stockholder entitled to vote thereat at such address as appears on the books of the corporation, at least ten (but not more than fifty) days prior to the meeting.</w:t>
      </w:r>
    </w:p>
    <w:p>
      <w:pPr>
        <w:spacing w:after="0" w:line="174" w:lineRule="exact"/>
        <w:rPr>
          <w:rFonts w:ascii="Courier New" w:cs="Courier New" w:eastAsia="Courier New" w:hAnsi="Courier New"/>
          <w:sz w:val="15"/>
          <w:szCs w:val="15"/>
          <w:color w:val="auto"/>
        </w:rPr>
      </w:pPr>
    </w:p>
    <w:p>
      <w:pPr>
        <w:ind w:right="3079" w:firstLine="797"/>
        <w:spacing w:after="0" w:line="242" w:lineRule="auto"/>
        <w:tabs>
          <w:tab w:leader="none" w:pos="107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of the stockholders, for any purpose or purposes, unless otherwise prescribed by statute or by the certificate of incorporation, may be called by the chief executive officer of the corporation, and shall be called by the president or secretary upon resolution of a majority of the entire board of directors, or at the request in writing of a majority of the entire board of directors. Such request shall state the purpose or purposes of the proposed meeting. Special meetings of holders of preferred stock held pursuant to the provisions of Section 10 of Article Fourth of the certificate of incorporation may be called in accordance with the provisions of paragraph (c) of said Section 10.</w:t>
      </w:r>
    </w:p>
    <w:p>
      <w:pPr>
        <w:spacing w:after="0" w:line="178" w:lineRule="exact"/>
        <w:rPr>
          <w:rFonts w:ascii="Courier New" w:cs="Courier New" w:eastAsia="Courier New" w:hAnsi="Courier New"/>
          <w:sz w:val="15"/>
          <w:szCs w:val="15"/>
          <w:color w:val="auto"/>
        </w:rPr>
      </w:pPr>
    </w:p>
    <w:p>
      <w:pPr>
        <w:ind w:right="3339" w:firstLine="797"/>
        <w:spacing w:after="0" w:line="242" w:lineRule="auto"/>
        <w:tabs>
          <w:tab w:leader="none" w:pos="107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notice of a special meeting of stockholders, including a special meeting for the purpose of amending the certificate of incorporation, stating the time and place and purposes thereof shall be mailed, postage prepaid, at least ten but not more than fifty days</w:t>
      </w:r>
    </w:p>
    <w:p>
      <w:pPr>
        <w:sectPr>
          <w:pgSz w:w="11900" w:h="16838" w:orient="portrait"/>
          <w:cols w:equalWidth="0" w:num="1">
            <w:col w:w="10219"/>
          </w:cols>
          <w:pgMar w:left="240" w:top="486" w:right="1440" w:bottom="1440" w:gutter="0" w:footer="0" w:header="0"/>
        </w:sectPr>
      </w:pPr>
    </w:p>
    <w:bookmarkStart w:id="46" w:name="page47"/>
    <w:bookmarkEnd w:id="46"/>
    <w:p>
      <w:pPr>
        <w:ind w:right="3699"/>
        <w:spacing w:after="0"/>
        <w:rPr>
          <w:sz w:val="20"/>
          <w:szCs w:val="20"/>
          <w:color w:val="auto"/>
        </w:rPr>
      </w:pPr>
      <w:r>
        <w:rPr>
          <w:rFonts w:ascii="Courier New" w:cs="Courier New" w:eastAsia="Courier New" w:hAnsi="Courier New"/>
          <w:sz w:val="15"/>
          <w:szCs w:val="15"/>
          <w:color w:val="auto"/>
        </w:rPr>
        <w:t>before such meeting, to each stockholder entitled to vote thereat at such address as appears on the books of the corporation.</w:t>
      </w:r>
    </w:p>
    <w:p>
      <w:pPr>
        <w:spacing w:after="0" w:line="176" w:lineRule="exact"/>
        <w:rPr>
          <w:sz w:val="20"/>
          <w:szCs w:val="20"/>
          <w:color w:val="auto"/>
        </w:rPr>
      </w:pPr>
    </w:p>
    <w:p>
      <w:pPr>
        <w:ind w:right="3079" w:firstLine="797"/>
        <w:spacing w:after="0" w:line="242" w:lineRule="auto"/>
        <w:tabs>
          <w:tab w:leader="none" w:pos="107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At an annual meeting of the stockholders, only such business shall be conducted as shall have been properly brought before the meeting. To be properly brought before an annual meeting, business must be (l) specified in the notice of meeting (or any supplement thereto) given by or at the direction of the board of directors, (2) otherwise properly brought before the meeting by or at the direction of the board of directors, or (3) otherwise properly brought before the meeting by a stockholder.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60 days nor more than 90 days prior to the meeting; provided, however, that in the event that less than 70 days' notice or prior public disclosure of the date of the meeting is given or made to stockholders, notice by the stockholder to be timely must be so received not later than the close of business on the 10th day following the day on which such notice of the date of the annual meeting was mailed or such public disclosure was made. A stockholder's notice to the secretary shall set forth as to each matter the stockholder proposes to bring before the annual meeting (1) a brief description of the business desired to be brought before the annual meeting and the reasons for conducting such business at the annual meeting, (2) the name and address, as they appear on the corporation's books, of the stockholder proposing such business, (3) the class and number of shares of the corporation which are beneficially owned by the stockholder, and (4) any material interest of the stockholder in such business. Notwithstanding anything in the by-laws to the contrary, no business shall be conducted at an annual meeting except in accordance with the procedures set forth in this by-law 8(A). In the event that a stockholder seeks to bring one or more matters before an annual meeting, the board of directors shall establish a committee consisting of non-management directors for the purpose of reviewing compliance with this by-law 8(A); provided, however, that if the business to be brought before the meeting by a stockholder relates to the removal, replacement or election of one or more directors, the secretary of the corporation shall appoint two or more inspectors, who shall not be affiliated with the corporation, to act in lieu of such committee to review compliance with this by-law 8(A). If the committee or the inspectors (as the case may be) shall determine that a stockholder has not complied with this by-law 8(A), the committee or the inspectors (as the case may be) shall direct the chairman of the annual meeting to declare to the meeting that business was not properly brought before the meeting in accordance with the provisions of this by-law 8(A); and the chairman shall so declare to the meeting and any such business not properly brought before the meeting shall not be transacted.</w:t>
      </w:r>
    </w:p>
    <w:p>
      <w:pPr>
        <w:spacing w:after="0" w:line="200" w:lineRule="exact"/>
        <w:rPr>
          <w:sz w:val="20"/>
          <w:szCs w:val="20"/>
          <w:color w:val="auto"/>
        </w:rPr>
      </w:pPr>
    </w:p>
    <w:p>
      <w:pPr>
        <w:ind w:right="3079" w:firstLine="707"/>
        <w:spacing w:after="0" w:line="242" w:lineRule="auto"/>
        <w:tabs>
          <w:tab w:leader="none" w:pos="107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persons who are nominated in accordance with the procedures set forth in this by-law 8(B) shall be eligible for election as directors. Nominations of persons for election to the board of directors of the corporation may be made at a meeting of stockholders by or at the direction of the board of directors or by any stockholder of the corporation entitled to vote for the election of directors at the meeting who complies with the notice procedures set forth in this by-law 8(B). Such nominations, other than those made by or at the direction of the board of directors, shall be made pursuant to timely notice in writing to the secretary of the corporation. To be timely, a stockholder's notice shall be delivered to or mailed and received at the principal executive offices of the corporation not less than 60 days nor more than 90 days prior to the meeting; provided, however, that in the event that less than 70 days' notice or prior public disclosure of the date of the meeting is given or made to stockholders, notice by</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47" w:name="page48"/>
    <w:bookmarkEnd w:id="47"/>
    <w:p>
      <w:pPr>
        <w:ind w:left="8" w:right="3079"/>
        <w:spacing w:after="0" w:line="260" w:lineRule="auto"/>
        <w:rPr>
          <w:sz w:val="20"/>
          <w:szCs w:val="20"/>
          <w:color w:val="auto"/>
        </w:rPr>
      </w:pPr>
      <w:r>
        <w:rPr>
          <w:rFonts w:ascii="Courier New" w:cs="Courier New" w:eastAsia="Courier New" w:hAnsi="Courier New"/>
          <w:sz w:val="14"/>
          <w:szCs w:val="14"/>
          <w:color w:val="auto"/>
        </w:rPr>
        <w:t>the stockholder to be timely must be so received not later than the close of business on the 10th day following the day on which such notice of the date of the meeting was mailed or such public disclosure was made. Such stockholder's notice shall set forth (l) as to each person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and (d) any other information relating to such person that is required to be disclosed in solicitations of proxies for election of directors, or is otherwise required, in each case pursuant to Regulation 14A under the Securities Exchange Act of 1934, as amended (including without limitation such person's written consent to being named in the proxy statement as a nominee and to serving as a director if elected); and</w:t>
      </w:r>
    </w:p>
    <w:p>
      <w:pPr>
        <w:spacing w:after="0" w:line="3" w:lineRule="exact"/>
        <w:rPr>
          <w:sz w:val="20"/>
          <w:szCs w:val="20"/>
          <w:color w:val="auto"/>
        </w:rPr>
      </w:pPr>
    </w:p>
    <w:p>
      <w:pPr>
        <w:ind w:left="8" w:right="3079" w:hanging="8"/>
        <w:spacing w:after="0" w:line="242" w:lineRule="auto"/>
        <w:tabs>
          <w:tab w:leader="none" w:pos="36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stockholder giving the notice, (a) the name and address, as they appear on the corporation's books, of such stockholder and (b) the class and number of shares of the corporation which are beneficially owned by such stockholder. At the request of the board of directors, any person nominated by the board of directors for election as a director shall furnish to the secretary of the corporation that information required to be set forth in a stockholder's notice of nomination which pertains to the nominee. No person shall be eligible for election as a director of the corporation unless nominated in accordance with the procedures set forth in this by-law 8(B). In the event that a stockholder seeks to nominate one or more directors, the secretary shall appoint two inspectors, who shall not be affiliated with the corporation, to determine whether a stockholder has complied with this by-law 8(B). If the inspectors shall determine that a stockholder has not complied with this by-law 8(B), the inspectors shall direct the chairman of the meeting to declare to the meeting that a nomination was not made in accordance with the procedures prescribed by the by-laws; and the chairman shall so declare to the meeting and the defective nomination shall be disregarded.</w:t>
      </w:r>
    </w:p>
    <w:p>
      <w:pPr>
        <w:spacing w:after="0" w:line="183" w:lineRule="exact"/>
        <w:rPr>
          <w:rFonts w:ascii="Courier New" w:cs="Courier New" w:eastAsia="Courier New" w:hAnsi="Courier New"/>
          <w:sz w:val="15"/>
          <w:szCs w:val="15"/>
          <w:color w:val="auto"/>
        </w:rPr>
      </w:pPr>
    </w:p>
    <w:p>
      <w:pPr>
        <w:ind w:left="8" w:right="3079" w:firstLine="797"/>
        <w:spacing w:after="0" w:line="242" w:lineRule="auto"/>
        <w:tabs>
          <w:tab w:leader="none" w:pos="1171"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 Whenever any action is required or permitted to be taken at any meeting of stockholders of the corporation, unless the certificate of incorporation otherwise provides, and subject to the provisions of clauses (2) and (3) of this by-law 8(C), the action may be taken without a meeting, without prior notice and without a vote, if a written consent setting forth the action so taken shall have been signed by the holders of outstanding stock having not less than the minimum number of votes that would be necessary to authorize such action at a meeting at which all shares entitled to vote thereon were present and voted; provided, however, that prompt notice of the taking of corporate action without a meeting and by less than unanimous written consent must be given to those stockholders who have not consented in writing.</w:t>
      </w:r>
    </w:p>
    <w:p>
      <w:pPr>
        <w:spacing w:after="0" w:line="179" w:lineRule="exact"/>
        <w:rPr>
          <w:sz w:val="20"/>
          <w:szCs w:val="20"/>
          <w:color w:val="auto"/>
        </w:rPr>
      </w:pPr>
    </w:p>
    <w:p>
      <w:pPr>
        <w:ind w:left="8" w:right="3079" w:firstLine="797"/>
        <w:spacing w:after="0" w:line="261" w:lineRule="auto"/>
        <w:tabs>
          <w:tab w:leader="none" w:pos="117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record date for determining stockholders entitled to express consent to corporate action in writing without a meeting shall be fixed by the board of directors of the corporation. Any stockholder of record seeking to have the stockholders authorize or take corporate action by written consent without a meeting shall, by written notice, request the board of directors to fix a record date. Upon receipt of such a request, the secretary shall place such request before the board of directors at its next regularly scheduled meeting, provided, however, that if the stockholder represents in such request that he intends, and is prepared, to commence a consent solicitation as soon as is permitted by the Securities Exchange Act of 1934 and the regulations thereunder and other applicable law, the secretary shall, as promptly as practicable, call a special meeting of the board of directors, which meeting shall be held as promptly as practicable. At such regular or special meeting, the board of directors shall fix a record date as provided in Section 213(a) (or its successor provision) of</w:t>
      </w:r>
    </w:p>
    <w:p>
      <w:pPr>
        <w:spacing w:after="0" w:line="33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5" w:right="1440" w:bottom="1440" w:gutter="0" w:footer="0" w:header="0"/>
        </w:sectPr>
      </w:pPr>
    </w:p>
    <w:bookmarkStart w:id="48" w:name="page49"/>
    <w:bookmarkEnd w:id="48"/>
    <w:p>
      <w:pPr>
        <w:ind w:right="3079"/>
        <w:spacing w:after="0" w:line="241" w:lineRule="auto"/>
        <w:rPr>
          <w:sz w:val="20"/>
          <w:szCs w:val="20"/>
          <w:color w:val="auto"/>
        </w:rPr>
      </w:pPr>
      <w:r>
        <w:rPr>
          <w:rFonts w:ascii="Courier New" w:cs="Courier New" w:eastAsia="Courier New" w:hAnsi="Courier New"/>
          <w:sz w:val="15"/>
          <w:szCs w:val="15"/>
          <w:color w:val="auto"/>
        </w:rPr>
        <w:t>the Delaware General Corporation Law. Should the board fail to fix a record date as provided for in this clause (2), then the record date shall be the day on which the first written consent is expressed.</w:t>
      </w:r>
    </w:p>
    <w:p>
      <w:pPr>
        <w:spacing w:after="0" w:line="176" w:lineRule="exact"/>
        <w:rPr>
          <w:sz w:val="20"/>
          <w:szCs w:val="20"/>
          <w:color w:val="auto"/>
        </w:rPr>
      </w:pPr>
    </w:p>
    <w:p>
      <w:pPr>
        <w:ind w:right="3079" w:firstLine="797"/>
        <w:spacing w:after="0" w:line="242" w:lineRule="auto"/>
        <w:tabs>
          <w:tab w:leader="none" w:pos="116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delivery to the corporation of a written consent or consents purporting to represent the requisite voting power to authorize or take corporate action and/or related revocations, the secretary of the corporation shall provide for the safekeeping of such consents and revocations and shall, as promptly as practicable, engage nationally recognized independent inspectors of elections for the purpose of promptly performing a ministerial review of the validity of the consents and revocations. No action by written consent and without a meeting shall be effective until such inspectors have completed their review, determined that the requisite number of valid and unrevoked consents has been obtained to authorize or take the action specified in the consents, and certified such determination for entry in the records of the corporation kept for the purpose of recording the proceedings of meetings of stockholders.</w:t>
      </w:r>
    </w:p>
    <w:p>
      <w:pPr>
        <w:spacing w:after="0" w:line="181" w:lineRule="exact"/>
        <w:rPr>
          <w:sz w:val="20"/>
          <w:szCs w:val="20"/>
          <w:color w:val="auto"/>
        </w:rPr>
      </w:pPr>
    </w:p>
    <w:p>
      <w:pPr>
        <w:ind w:right="3079" w:firstLine="797"/>
        <w:spacing w:after="0" w:line="242" w:lineRule="auto"/>
        <w:tabs>
          <w:tab w:leader="none" w:pos="116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meeting of the stockholders, every stockholder entitled to vote may vote in person or by proxy authorized by an instrument in writing or by a transmission permitted by law. Any copy, facsimile telecommunication or other reliable reproduction of the writing or transmission created pursuant to this paragraph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Each stockholder shall have one vote for each share of stock having voting power, registered in his name on the books of the corporation on the record date fixed for such meeting, or, if no record date has been fixed, on such date as may be provided for by law. The vote for directors and, upon the demand of any stockholder, the vote upon any question before the meeting, shall be by ballot.</w:t>
      </w:r>
    </w:p>
    <w:p>
      <w:pPr>
        <w:spacing w:after="0" w:line="181"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the stock issued and outstanding, and entitled to vote thereat, present in person or represented by proxy, shall be requisite and shall constitute a quorum at all meetings of the stockholders for the transaction of business except as otherwise provided by law, by the certificate of incorporation, or by these by-laws. If, however, such majority shall not be present or represented at any meeting of the stockholders, the stockholders entitled to vote thereat, present in person or by proxy, shall have power to adjourn the meeting from time to time, without notice other than announcement at the meeting, until the requisite amount of voting stock shall be present. At such adjourned meeting at which the requisite amount of voting stock shall be represented, any business may be transacted which might have been transacted at the meeting as originally noticed.</w:t>
      </w:r>
    </w:p>
    <w:p>
      <w:pPr>
        <w:spacing w:after="0" w:line="180"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each meeting of stockholders the presence or lack of a quorum shall be ascertained and all voting by ballot shall be conducted by two inspectors appointed for the purpose by the board of directors or, if not so appointed, designated by the meeting. If for any reason any of the inspectors previously appointed shall fail to attend or be unable to serve, a replacement shall be appointed in like manner. The inspectors shall decide upon the qualifications of the voters and the validity of proxies, report on the presence or lack of a quorum, take charge of the ballots at said meeting, and after the balloting thereat on any question shall count the ballots cast thereon and shall report the result in writing to the secretary of the corporation or to the chairman of the meeting.</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49" w:name="page50"/>
    <w:bookmarkEnd w:id="49"/>
    <w:p>
      <w:pPr>
        <w:ind w:left="-797" w:right="3079" w:firstLine="797"/>
        <w:spacing w:after="0" w:line="261" w:lineRule="auto"/>
        <w:tabs>
          <w:tab w:leader="none" w:pos="366"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complete list of the stockholders entitled to vote at any meeting, arranged in alphabetical order, giving the address of each, and the number of voting shares held by each, shall be prepared by the treasurer. Such list shall be open to the examination of any stockholder for any purpose germane to the meeting during ordinary business hours for a period of at least ten days prior to the meeting, either at a place within the city where the meeting is to be held and which place shall be specified in the notice of meeting or, if not so specified, at the place where said meeting is to be held, and the list shall be produced and kept at the time and place of meeting during the whole time thereof, and subject to the inspection of any stockholder who may be present.</w:t>
      </w:r>
    </w:p>
    <w:p>
      <w:pPr>
        <w:spacing w:after="0" w:line="166" w:lineRule="exact"/>
        <w:rPr>
          <w:sz w:val="20"/>
          <w:szCs w:val="20"/>
          <w:color w:val="auto"/>
        </w:rPr>
      </w:pPr>
    </w:p>
    <w:p>
      <w:pPr>
        <w:ind w:left="2243"/>
        <w:spacing w:after="0"/>
        <w:rPr>
          <w:sz w:val="20"/>
          <w:szCs w:val="20"/>
          <w:color w:val="auto"/>
        </w:rPr>
      </w:pPr>
      <w:r>
        <w:rPr>
          <w:rFonts w:ascii="Courier New" w:cs="Courier New" w:eastAsia="Courier New" w:hAnsi="Courier New"/>
          <w:sz w:val="15"/>
          <w:szCs w:val="15"/>
          <w:color w:val="auto"/>
        </w:rPr>
        <w:t>DIRECTORS.</w:t>
      </w:r>
    </w:p>
    <w:p>
      <w:pPr>
        <w:spacing w:after="0" w:line="176" w:lineRule="exact"/>
        <w:rPr>
          <w:sz w:val="20"/>
          <w:szCs w:val="20"/>
          <w:color w:val="auto"/>
        </w:rPr>
      </w:pPr>
    </w:p>
    <w:p>
      <w:pPr>
        <w:ind w:left="-797" w:right="3079" w:firstLine="797"/>
        <w:spacing w:after="0" w:line="242" w:lineRule="auto"/>
        <w:tabs>
          <w:tab w:leader="none" w:pos="36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property and business of this corporation shall be managed by its board of directors. The number of directors shall be no less than seven nor more than twelve, as determined from time to time by the board of directors, but no reduction in the number of directors shall terminate the office of any director prior to the first annual meeting of the stockholders subsequent to his election at which directors are elected except with the written consent of such director, and provided further that the number of directors may be increased by action of the holders of preferred stock as contemplated in by-law 13(B), and that no reduction in the number of directors shall be in violation of the provisions of by-law 13(B). Except to the extent otherwise provided in the certificate of incorporation or the by-laws, they shall be elected at the annual meeting of the stockholders, and each director shall be elected to serve until his successor shall be elected and shall qualify. No person who has attained the age of sixty-five shall be initially elected to the board of directors. No director shall be re-elected as a member of the Board after he or she has reached his or her 72nd birthday, except if his or her nomination for re-election has been approved in each instance by a majority of the other directors of the corporation. Additionally, no former Chief Executive Officer of the corporation shall be re-elected as a member of the Board after he or she has reached his or her 65th birthday, except if his or her nomination for re-election has been approved in each instance by a majority of the other directors of the corporation, and in no event shall he or she be re-elected after he or she has reached his or her 68th birthday.</w:t>
      </w:r>
    </w:p>
    <w:p>
      <w:pPr>
        <w:spacing w:after="0" w:line="188" w:lineRule="exact"/>
        <w:rPr>
          <w:sz w:val="20"/>
          <w:szCs w:val="20"/>
          <w:color w:val="auto"/>
        </w:rPr>
      </w:pPr>
    </w:p>
    <w:p>
      <w:pPr>
        <w:ind w:left="-797" w:right="3079" w:firstLine="797"/>
        <w:spacing w:after="0" w:line="242" w:lineRule="auto"/>
        <w:tabs>
          <w:tab w:leader="none" w:pos="36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any preferred stock shall be outstanding and there shall exist a "default period" as defined in paragraph (a) of Section 10 of Article Fourth of the certificate of incorporation, the holders of the preferred stock, voting as a class, irrespective of series, shall have the voting right set forth in said Section 10. At any meeting at which the holders of preferred stock shall exercise such voting right initially during an existing default period, they shall have the right, voting as a class, to elect directors to fill such vacancies in the board of directors, if any, as may then exist up to such number of directors as amounts to the "required proportion" as defined in paragraph (a) of said Section 10, and if the number which may be so elected does not amount to the required proportion, to make such increase in the number of directors as shall be necessary to permit the election by them of the required proportion but no greater increase than shall be necessary for that purpose, and to elect directors to the offices so created. An increase in the number of directors by the holders of preferred stock shall not prevent a subsequent increase or decrease in the number of directors made in any manner provided herein by the board of directors or the holders of preferred and common stock voting irrespective of classes, provided that during a default period no such amendment shall (l) reduce the number of directors elected by the holders of preferred stock to less than the</w:t>
      </w:r>
    </w:p>
    <w:p>
      <w:pPr>
        <w:spacing w:after="0" w:line="356"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22"/>
          </w:cols>
          <w:pgMar w:left="1037" w:top="635" w:right="1440" w:bottom="1440" w:gutter="0" w:footer="0" w:header="0"/>
        </w:sectPr>
      </w:pPr>
    </w:p>
    <w:bookmarkStart w:id="50" w:name="page51"/>
    <w:bookmarkEnd w:id="50"/>
    <w:p>
      <w:pPr>
        <w:jc w:val="both"/>
        <w:ind w:right="3079"/>
        <w:spacing w:after="0" w:line="241" w:lineRule="auto"/>
        <w:rPr>
          <w:sz w:val="20"/>
          <w:szCs w:val="20"/>
          <w:color w:val="auto"/>
        </w:rPr>
      </w:pPr>
      <w:r>
        <w:rPr>
          <w:rFonts w:ascii="Courier New" w:cs="Courier New" w:eastAsia="Courier New" w:hAnsi="Courier New"/>
          <w:sz w:val="15"/>
          <w:szCs w:val="15"/>
          <w:color w:val="auto"/>
        </w:rPr>
        <w:t>required proportion or (2) terminate the office of a director prior to the first annual meeting of stockholders subsequent to his election at which directors are elected, except with the written consent of such director.</w:t>
      </w:r>
    </w:p>
    <w:p>
      <w:pPr>
        <w:spacing w:after="0" w:line="176" w:lineRule="exact"/>
        <w:rPr>
          <w:sz w:val="20"/>
          <w:szCs w:val="20"/>
          <w:color w:val="auto"/>
        </w:rPr>
      </w:pPr>
    </w:p>
    <w:p>
      <w:pPr>
        <w:ind w:right="3079" w:firstLine="797"/>
        <w:spacing w:after="0" w:line="242" w:lineRule="auto"/>
        <w:tabs>
          <w:tab w:leader="none" w:pos="116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may hold their meetings and have one or more offices, and keep the books of the corporation outside of Delaware, at the office of the corporation in the City of New York, or at such other places as they may from time to time determine.</w:t>
      </w:r>
    </w:p>
    <w:p>
      <w:pPr>
        <w:spacing w:after="0" w:line="174"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powers and authority by these by-laws expressly conferred upon it, the board may exercise all such powers of the corporation and do all such lawful acts and things as are not by statute or by the certificate of incorporation or by these by-laws directed or required to be exercised or done by the stockholders.</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COMMITTEES.</w:t>
      </w:r>
    </w:p>
    <w:p>
      <w:pPr>
        <w:spacing w:after="0" w:line="176" w:lineRule="exact"/>
        <w:rPr>
          <w:sz w:val="20"/>
          <w:szCs w:val="20"/>
          <w:color w:val="auto"/>
        </w:rPr>
      </w:pPr>
    </w:p>
    <w:p>
      <w:pPr>
        <w:ind w:right="3259" w:firstLine="797"/>
        <w:spacing w:after="0" w:line="241" w:lineRule="auto"/>
        <w:tabs>
          <w:tab w:leader="none" w:pos="116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appoint such committees as are required by these by-laws, and may appoint such committees as are permitted by these by-laws, from among their members.</w:t>
      </w:r>
    </w:p>
    <w:p>
      <w:pPr>
        <w:spacing w:after="0" w:line="176" w:lineRule="exact"/>
        <w:rPr>
          <w:rFonts w:ascii="Courier New" w:cs="Courier New" w:eastAsia="Courier New" w:hAnsi="Courier New"/>
          <w:sz w:val="15"/>
          <w:szCs w:val="15"/>
          <w:color w:val="auto"/>
        </w:rPr>
      </w:pPr>
    </w:p>
    <w:p>
      <w:pPr>
        <w:ind w:right="3439" w:firstLine="797"/>
        <w:spacing w:after="0"/>
        <w:tabs>
          <w:tab w:leader="none" w:pos="116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of committees shall be by the affirmative vote of a majority of the whole board.</w:t>
      </w:r>
    </w:p>
    <w:p>
      <w:pPr>
        <w:spacing w:after="0" w:line="176" w:lineRule="exact"/>
        <w:rPr>
          <w:rFonts w:ascii="Courier New" w:cs="Courier New" w:eastAsia="Courier New" w:hAnsi="Courier New"/>
          <w:sz w:val="15"/>
          <w:szCs w:val="15"/>
          <w:color w:val="auto"/>
        </w:rPr>
      </w:pPr>
    </w:p>
    <w:p>
      <w:pPr>
        <w:ind w:right="3079" w:firstLine="797"/>
        <w:spacing w:after="0"/>
        <w:tabs>
          <w:tab w:leader="none" w:pos="116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but need not, designate one member of each committee as the chairman thereof.</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appoint a personnel and organization committee consisting of at least five members, with not less than three members who are not eligible for stock options or incentive awards either at the time when discretion is to be exercised by such committee or at any time within one year prior thereto. Such committee shall consider and monitor the corporation's organization, personnel and compensation policies, practices and implementation. In addition, such committee shall review the compensation of the officers of the company and senior management. Such committee shall also administer such plans under which stock of the corporation is issuable to employees upon exercise of stock options, and all executive incentive compensation plans. The board of directors may provide for an executive incentive compensation committee and a stock option committee. Each such committee shall consist of members of the personnel and organization committee who are not eligible for incentive awards or stock options either at the time when discretion is to be exercised by the members of the said committee or at any time within one year prior thereto, and the chairman of the personnel and organization committee, provided he is not and has not been so eligible. From and after December 14, 1978, all such plans are amended to reflect their administration by such committees. The executive incentive compensation committee and the stock option committee shall have the powers and duties provided in the respective plans and be subject to such provisions and limitations as the board of directors shall from time to time determine.</w:t>
      </w:r>
    </w:p>
    <w:p>
      <w:pPr>
        <w:spacing w:after="0" w:line="186"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appoint an audit committee consisting of not less than three members. Such committee shall review internal and external audit conditions, procedures and results and formulate and report to the board of directors policies with regard thereto.</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51" w:name="page52"/>
    <w:bookmarkEnd w:id="51"/>
    <w:p>
      <w:pPr>
        <w:ind w:right="3079" w:firstLine="797"/>
        <w:spacing w:after="0" w:line="242" w:lineRule="auto"/>
        <w:tabs>
          <w:tab w:leader="none" w:pos="11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appoint a finance committee consisting of not less than four members. Such committee, if and when appointed, shall consider and take account of the financial affairs of the corporation, and formulate and suggest the financial policies of the corporation for submission to the board of directors.</w:t>
      </w:r>
    </w:p>
    <w:p>
      <w:pPr>
        <w:spacing w:after="0" w:line="175" w:lineRule="exact"/>
        <w:rPr>
          <w:rFonts w:ascii="Courier New" w:cs="Courier New" w:eastAsia="Courier New" w:hAnsi="Courier New"/>
          <w:sz w:val="15"/>
          <w:szCs w:val="15"/>
          <w:color w:val="auto"/>
        </w:rPr>
      </w:pPr>
    </w:p>
    <w:p>
      <w:pPr>
        <w:ind w:right="3259" w:firstLine="797"/>
        <w:spacing w:after="0" w:line="241" w:lineRule="auto"/>
        <w:tabs>
          <w:tab w:leader="none" w:pos="11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may in its discretion appoint from time to time other committees for other purposes or assign additional duties to the existing committees.</w:t>
      </w:r>
    </w:p>
    <w:p>
      <w:pPr>
        <w:spacing w:after="0" w:line="176" w:lineRule="exact"/>
        <w:rPr>
          <w:rFonts w:ascii="Courier New" w:cs="Courier New" w:eastAsia="Courier New" w:hAnsi="Courier New"/>
          <w:sz w:val="15"/>
          <w:szCs w:val="15"/>
          <w:color w:val="auto"/>
        </w:rPr>
      </w:pPr>
    </w:p>
    <w:p>
      <w:pPr>
        <w:jc w:val="both"/>
        <w:ind w:right="3259" w:firstLine="797"/>
        <w:spacing w:after="0" w:line="241" w:lineRule="auto"/>
        <w:tabs>
          <w:tab w:leader="none" w:pos="11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committee shall have the right to determine its own rules of procedure, not inconsistent with the action of the board of directors, or with these by-laws, or with the certificate of incorporation.</w:t>
      </w:r>
    </w:p>
    <w:p>
      <w:pPr>
        <w:spacing w:after="0" w:line="174" w:lineRule="exact"/>
        <w:rPr>
          <w:rFonts w:ascii="Courier New" w:cs="Courier New" w:eastAsia="Courier New" w:hAnsi="Courier New"/>
          <w:sz w:val="15"/>
          <w:szCs w:val="15"/>
          <w:color w:val="auto"/>
        </w:rPr>
      </w:pPr>
    </w:p>
    <w:p>
      <w:pPr>
        <w:ind w:left="1160" w:hanging="363"/>
        <w:spacing w:after="0"/>
        <w:tabs>
          <w:tab w:leader="none" w:pos="11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Vacancies in the committees shall be filled by the board of</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w:t>
      </w:r>
    </w:p>
    <w:p>
      <w:pPr>
        <w:spacing w:after="0" w:line="175"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time and place of regular meetings of the committees shall be fixed by the board of directors, or if not so fixed, then by the committee, and prompt notice thereof shall be given to each member of the committee, provided however, that the board may authorize the committee or the chairman thereof to postpone any such committee meeting upon two days notice to each member of the committee. Special meetings of the committee may be called by the chairman of the committee or the chief executive officer upon two days notice to each member of the committee. Each such committee may meet at such stated times and places and otherwise upon notice and at such places as it shall provide, except that the finance committee shall meet at least once in each calendar quarter.</w:t>
      </w:r>
    </w:p>
    <w:p>
      <w:pPr>
        <w:spacing w:after="0" w:line="178"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the members of each such committee shall constitute a quorum; and in each instance the affirmative vote of a majority of the members of the committee present at the meeting shall be necessary for the adoption of any resolution, except that, upon request of the chief executive officer or the chairman of the committee, any action required or permitted to be taken at any meeting of such committee may be taken without a meeting, if prior to such action a written consent thereto is signed by all members of such committee, and such written consent is filed with the minutes of the committee. The committee may designate one of its members as secretary of the committee, and may in addition, call upon the secretary or one of the assistant secretaries of the corporation, or any other person, as may be determined by the committee, to perform all or part of the duties of secretary of the committee; and minutes shall be kept of all meetings and proceedings of the committee, which shall be reduced to writing by either the secretary of the committee or the secretary or one of the assistant secretaries of the corporation, or such other person, as the committee shall direct.</w:t>
      </w:r>
    </w:p>
    <w:p>
      <w:pPr>
        <w:spacing w:after="0" w:line="182"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member of each such committee shall continue to be a member thereof at the pleasure of the board of directors and, unless otherwise ordered by the board of directors or otherwise specified in the plan providing for such committee, until such time as he ceases to be a member of the board of directors.</w:t>
      </w:r>
    </w:p>
    <w:p>
      <w:pPr>
        <w:spacing w:after="0" w:line="175" w:lineRule="exact"/>
        <w:rPr>
          <w:rFonts w:ascii="Courier New" w:cs="Courier New" w:eastAsia="Courier New" w:hAnsi="Courier New"/>
          <w:sz w:val="15"/>
          <w:szCs w:val="15"/>
          <w:color w:val="auto"/>
        </w:rPr>
      </w:pPr>
    </w:p>
    <w:p>
      <w:pPr>
        <w:ind w:right="3159" w:firstLine="797"/>
        <w:spacing w:after="0" w:line="241" w:lineRule="auto"/>
        <w:tabs>
          <w:tab w:leader="none" w:pos="116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minutes and proceedings of each such committee shall from time to time be reported to the board of directors, as by the board of directors required.</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52" w:name="page53"/>
    <w:bookmarkEnd w:id="52"/>
    <w:p>
      <w:pPr>
        <w:ind w:left="1523"/>
        <w:spacing w:after="0"/>
        <w:rPr>
          <w:sz w:val="20"/>
          <w:szCs w:val="20"/>
          <w:color w:val="auto"/>
        </w:rPr>
      </w:pPr>
      <w:r>
        <w:rPr>
          <w:rFonts w:ascii="Courier New" w:cs="Courier New" w:eastAsia="Courier New" w:hAnsi="Courier New"/>
          <w:sz w:val="15"/>
          <w:szCs w:val="15"/>
          <w:color w:val="auto"/>
        </w:rPr>
        <w:t>COMPENSATION OF DIRECTORS.</w:t>
      </w:r>
    </w:p>
    <w:p>
      <w:pPr>
        <w:spacing w:after="0" w:line="348" w:lineRule="exact"/>
        <w:rPr>
          <w:sz w:val="20"/>
          <w:szCs w:val="20"/>
          <w:color w:val="auto"/>
        </w:rPr>
      </w:pPr>
    </w:p>
    <w:p>
      <w:pPr>
        <w:ind w:left="-797" w:right="3159" w:firstLine="797"/>
        <w:spacing w:after="0" w:line="242" w:lineRule="auto"/>
        <w:tabs>
          <w:tab w:leader="none" w:pos="36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of directors as such shall be fixed by the board of directors but no additional compensation shall be paid to regular employees of the corporation for service as directors or as members of any committee of the board. Nothing herein contained shall be construed to preclude any director from serving the corporation as an officer or in any other capacity and receiving compensation therefor.</w:t>
      </w:r>
    </w:p>
    <w:p>
      <w:pPr>
        <w:spacing w:after="0" w:line="176" w:lineRule="exact"/>
        <w:rPr>
          <w:rFonts w:ascii="Courier New" w:cs="Courier New" w:eastAsia="Courier New" w:hAnsi="Courier New"/>
          <w:sz w:val="15"/>
          <w:szCs w:val="15"/>
          <w:color w:val="auto"/>
        </w:rPr>
      </w:pPr>
    </w:p>
    <w:p>
      <w:pPr>
        <w:jc w:val="both"/>
        <w:ind w:left="-797" w:right="3339" w:firstLine="797"/>
        <w:spacing w:after="0" w:line="241" w:lineRule="auto"/>
        <w:tabs>
          <w:tab w:leader="none" w:pos="36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resolution of the board of directors, members of any one or more committees may receive fixed fees or other compensation for their services.</w:t>
      </w:r>
    </w:p>
    <w:p>
      <w:pPr>
        <w:spacing w:after="0" w:line="174" w:lineRule="exact"/>
        <w:rPr>
          <w:sz w:val="20"/>
          <w:szCs w:val="20"/>
          <w:color w:val="auto"/>
        </w:rPr>
      </w:pPr>
    </w:p>
    <w:p>
      <w:pPr>
        <w:ind w:left="1703"/>
        <w:spacing w:after="0"/>
        <w:rPr>
          <w:sz w:val="20"/>
          <w:szCs w:val="20"/>
          <w:color w:val="auto"/>
        </w:rPr>
      </w:pPr>
      <w:r>
        <w:rPr>
          <w:rFonts w:ascii="Courier New" w:cs="Courier New" w:eastAsia="Courier New" w:hAnsi="Courier New"/>
          <w:sz w:val="15"/>
          <w:szCs w:val="15"/>
          <w:color w:val="auto"/>
        </w:rPr>
        <w:t>MEETINGS OF THE BOARD.</w:t>
      </w:r>
    </w:p>
    <w:p>
      <w:pPr>
        <w:spacing w:after="0" w:line="176" w:lineRule="exact"/>
        <w:rPr>
          <w:sz w:val="20"/>
          <w:szCs w:val="20"/>
          <w:color w:val="auto"/>
        </w:rPr>
      </w:pPr>
    </w:p>
    <w:p>
      <w:pPr>
        <w:ind w:left="-797" w:right="3079" w:firstLine="797"/>
        <w:spacing w:after="0" w:line="242" w:lineRule="auto"/>
        <w:tabs>
          <w:tab w:leader="none" w:pos="3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newly elected board may meet at such place and time as shall be fixed by the vote of the stockholders at the annual meeting, for the purpose of organization or otherwise, and no notice of such meeting shall be necessary to the newly elected directors, in order legally to constitute the meeting, provided, a majority of the whole board shall be present; or they may meet at such place and time as shall be fixed by the consent in writing of all the directors.</w:t>
      </w:r>
    </w:p>
    <w:p>
      <w:pPr>
        <w:spacing w:after="0" w:line="176" w:lineRule="exact"/>
        <w:rPr>
          <w:rFonts w:ascii="Courier New" w:cs="Courier New" w:eastAsia="Courier New" w:hAnsi="Courier New"/>
          <w:sz w:val="15"/>
          <w:szCs w:val="15"/>
          <w:color w:val="auto"/>
        </w:rPr>
      </w:pPr>
    </w:p>
    <w:p>
      <w:pPr>
        <w:ind w:left="-797" w:right="3339" w:firstLine="797"/>
        <w:spacing w:after="0" w:line="241" w:lineRule="auto"/>
        <w:tabs>
          <w:tab w:leader="none" w:pos="3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Regular meetings of the board may be held without notice at such time and place as shall from time to time be determined by resolution of the board.</w:t>
      </w:r>
    </w:p>
    <w:p>
      <w:pPr>
        <w:spacing w:after="0" w:line="176" w:lineRule="exact"/>
        <w:rPr>
          <w:rFonts w:ascii="Courier New" w:cs="Courier New" w:eastAsia="Courier New" w:hAnsi="Courier New"/>
          <w:sz w:val="15"/>
          <w:szCs w:val="15"/>
          <w:color w:val="auto"/>
        </w:rPr>
      </w:pPr>
    </w:p>
    <w:p>
      <w:pPr>
        <w:ind w:left="-797" w:right="3159" w:firstLine="797"/>
        <w:spacing w:after="0" w:line="242" w:lineRule="auto"/>
        <w:tabs>
          <w:tab w:leader="none" w:pos="3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of the board may be called by the chairman of the board or the chief executive officer on three days' notice to each director, either personally or by mail or by telegram; and special meetings shall be called by the president or secretary in like manner and on like notice on the written request of two directors.</w:t>
      </w:r>
    </w:p>
    <w:p>
      <w:pPr>
        <w:spacing w:after="0" w:line="175" w:lineRule="exact"/>
        <w:rPr>
          <w:rFonts w:ascii="Courier New" w:cs="Courier New" w:eastAsia="Courier New" w:hAnsi="Courier New"/>
          <w:sz w:val="15"/>
          <w:szCs w:val="15"/>
          <w:color w:val="auto"/>
        </w:rPr>
      </w:pPr>
    </w:p>
    <w:p>
      <w:pPr>
        <w:ind w:left="-797" w:right="3079" w:firstLine="797"/>
        <w:spacing w:after="0" w:line="242" w:lineRule="auto"/>
        <w:tabs>
          <w:tab w:leader="none" w:pos="3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all meetings of the board the presence of a majority of the directors then in office shall be necessary and sufficient to constitute a quorum for the transaction of business, and the act of a majority of the directors present at any meeting at which there is a quorum, shall be the act of the directors, except as may be otherwise specifically provided by statute, or by the certificate of incorporation, or by these by-laws. If a quorum shall not be present at any meeting the directors present thereat may adjourn the meeting from time to time, without notice, other than at the meeting, until a quorum shall be present.</w:t>
      </w:r>
    </w:p>
    <w:p>
      <w:pPr>
        <w:spacing w:after="0" w:line="176" w:lineRule="exact"/>
        <w:rPr>
          <w:sz w:val="20"/>
          <w:szCs w:val="20"/>
          <w:color w:val="auto"/>
        </w:rPr>
      </w:pPr>
    </w:p>
    <w:p>
      <w:pPr>
        <w:ind w:left="2323"/>
        <w:spacing w:after="0"/>
        <w:rPr>
          <w:sz w:val="20"/>
          <w:szCs w:val="20"/>
          <w:color w:val="auto"/>
        </w:rPr>
      </w:pPr>
      <w:r>
        <w:rPr>
          <w:rFonts w:ascii="Courier New" w:cs="Courier New" w:eastAsia="Courier New" w:hAnsi="Courier New"/>
          <w:sz w:val="15"/>
          <w:szCs w:val="15"/>
          <w:color w:val="auto"/>
        </w:rPr>
        <w:t>OFFICERS.</w:t>
      </w:r>
    </w:p>
    <w:p>
      <w:pPr>
        <w:spacing w:after="0" w:line="176" w:lineRule="exact"/>
        <w:rPr>
          <w:sz w:val="20"/>
          <w:szCs w:val="20"/>
          <w:color w:val="auto"/>
        </w:rPr>
      </w:pPr>
    </w:p>
    <w:p>
      <w:pPr>
        <w:ind w:left="-797" w:right="3079" w:firstLine="797"/>
        <w:spacing w:after="0" w:line="242" w:lineRule="auto"/>
        <w:tabs>
          <w:tab w:leader="none" w:pos="3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its first meeting after each annual meeting of the stockholders the board of directors shall choose a chairman of the board and a president, who shall be directors of the corporation and one of whom shall be designated by the board as chief executive officer of the corporation. At the same meeting the board shall also choose a vice president or vice presidents, one or more of whom may be designated as executive vice presidents, a secretary, a treasurer and a controller. Any two offices other than those of president and secretary may be held by the same person. The chairman of the board shall not be deemed to be a corporate officer unless designated by the board as chief executive officer or otherwise designated by the board as an officer of the corporation.</w:t>
      </w:r>
    </w:p>
    <w:p>
      <w:pPr>
        <w:spacing w:after="0" w:line="178" w:lineRule="exact"/>
        <w:rPr>
          <w:rFonts w:ascii="Courier New" w:cs="Courier New" w:eastAsia="Courier New" w:hAnsi="Courier New"/>
          <w:sz w:val="15"/>
          <w:szCs w:val="15"/>
          <w:color w:val="auto"/>
        </w:rPr>
      </w:pPr>
    </w:p>
    <w:p>
      <w:pPr>
        <w:ind w:left="-797" w:right="3259" w:firstLine="797"/>
        <w:spacing w:after="0" w:line="263" w:lineRule="auto"/>
        <w:tabs>
          <w:tab w:leader="none" w:pos="366"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may also create and provide for additional offices and prescribe the duties of the respective incumbents thereof and appoint such further officers and agents as it shall deem necessary or advisable, such as assistant secretaries and assistant treasurers, who shall hold their respective offices for such term and shall exercise such powers</w:t>
      </w:r>
    </w:p>
    <w:p>
      <w:pPr>
        <w:spacing w:after="0" w:line="161"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422"/>
          </w:cols>
          <w:pgMar w:left="1037" w:top="633" w:right="1440" w:bottom="1440" w:gutter="0" w:footer="0" w:header="0"/>
        </w:sectPr>
      </w:pPr>
    </w:p>
    <w:bookmarkStart w:id="53" w:name="page54"/>
    <w:bookmarkEnd w:id="53"/>
    <w:p>
      <w:pPr>
        <w:ind w:right="3079"/>
        <w:spacing w:after="0" w:line="242" w:lineRule="auto"/>
        <w:rPr>
          <w:sz w:val="20"/>
          <w:szCs w:val="20"/>
          <w:color w:val="auto"/>
        </w:rPr>
      </w:pPr>
      <w:r>
        <w:rPr>
          <w:rFonts w:ascii="Courier New" w:cs="Courier New" w:eastAsia="Courier New" w:hAnsi="Courier New"/>
          <w:sz w:val="15"/>
          <w:szCs w:val="15"/>
          <w:color w:val="auto"/>
        </w:rPr>
        <w:t>and perform such duties as shall be determined from time to time by the chief executive officer or the board of directors. By direction of the chief executive officer, other personnel may be designated by titles, such as "assistant vice president," "divisional vice president," "assistant treasurer" or "assistant controller" but only persons elected by the board of directors shall be deemed officers of the corporation.</w:t>
      </w:r>
    </w:p>
    <w:p>
      <w:pPr>
        <w:spacing w:after="0" w:line="176" w:lineRule="exact"/>
        <w:rPr>
          <w:sz w:val="20"/>
          <w:szCs w:val="20"/>
          <w:color w:val="auto"/>
        </w:rPr>
      </w:pPr>
    </w:p>
    <w:p>
      <w:pPr>
        <w:jc w:val="both"/>
        <w:ind w:right="3159" w:firstLine="797"/>
        <w:spacing w:after="0" w:line="242" w:lineRule="auto"/>
        <w:tabs>
          <w:tab w:leader="none" w:pos="116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employee benefit or incentive plans approved by the board of directors or the stockholders, the compensation of all officers of the corporation shall be fixed by the board of directors or by any committee of the board of directors as the board of directors designates.</w:t>
      </w:r>
    </w:p>
    <w:p>
      <w:pPr>
        <w:spacing w:after="0" w:line="174" w:lineRule="exact"/>
        <w:rPr>
          <w:rFonts w:ascii="Courier New" w:cs="Courier New" w:eastAsia="Courier New" w:hAnsi="Courier New"/>
          <w:sz w:val="15"/>
          <w:szCs w:val="15"/>
          <w:color w:val="auto"/>
        </w:rPr>
      </w:pPr>
    </w:p>
    <w:p>
      <w:pPr>
        <w:ind w:right="3259" w:firstLine="797"/>
        <w:spacing w:after="0" w:line="263" w:lineRule="auto"/>
        <w:tabs>
          <w:tab w:leader="none" w:pos="116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officers of the corporation shall hold office until their respective successors are chosen and qualified in their stead, or until they have resigned, retired or been removed in the manner hereinafter provided. Any officer elected or appointed by the board of directors may be removed at any time by the affirmative vote of a majority of the whole board of directors.</w:t>
      </w:r>
    </w:p>
    <w:p>
      <w:pPr>
        <w:spacing w:after="0" w:line="161"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CHAIRMAN OF THE BOARD.</w:t>
      </w:r>
    </w:p>
    <w:p>
      <w:pPr>
        <w:spacing w:after="0" w:line="176" w:lineRule="exact"/>
        <w:rPr>
          <w:sz w:val="20"/>
          <w:szCs w:val="20"/>
          <w:color w:val="auto"/>
        </w:rPr>
      </w:pPr>
    </w:p>
    <w:p>
      <w:pPr>
        <w:ind w:right="3079" w:firstLine="797"/>
        <w:spacing w:after="0" w:line="242" w:lineRule="auto"/>
        <w:tabs>
          <w:tab w:leader="none" w:pos="116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so designated by the board of directors, the chairman of the board shall be the chief executive officer of the corporation with the powers and duties hereinafter specified for such office. He shall preside at all meetings of the board of directors and shall perform such other duties as may be specified in the by-laws.</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THE PRESIDENT.</w:t>
      </w:r>
    </w:p>
    <w:p>
      <w:pPr>
        <w:spacing w:after="0" w:line="176" w:lineRule="exact"/>
        <w:rPr>
          <w:sz w:val="20"/>
          <w:szCs w:val="20"/>
          <w:color w:val="auto"/>
        </w:rPr>
      </w:pPr>
    </w:p>
    <w:p>
      <w:pPr>
        <w:ind w:right="3079" w:firstLine="797"/>
        <w:spacing w:after="0" w:line="242" w:lineRule="auto"/>
        <w:tabs>
          <w:tab w:leader="none" w:pos="116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so designated by the board of directors, the president shall be the chief executive officer of the corporation with the powers and duties hereinafter specified for such office. When not serving as chief executive officer he shall have such powers and duties as may be specified in the by-laws, prescribed by the board of directors or delegated by the chief executive officer.</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CHIEF EXECUTIVE OFFICER.</w:t>
      </w:r>
    </w:p>
    <w:p>
      <w:pPr>
        <w:spacing w:after="0" w:line="176" w:lineRule="exact"/>
        <w:rPr>
          <w:sz w:val="20"/>
          <w:szCs w:val="20"/>
          <w:color w:val="auto"/>
        </w:rPr>
      </w:pPr>
    </w:p>
    <w:p>
      <w:pPr>
        <w:ind w:right="3079" w:firstLine="797"/>
        <w:spacing w:after="0" w:line="242" w:lineRule="auto"/>
        <w:tabs>
          <w:tab w:leader="none" w:pos="1163"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chief executive officer may be either the chairman of the board or the president. The person so designated by the board of directors shall have the general and active management of the business, property and affairs of the corporation, subject to the control of the board of directors, and shall have the powers and perform the duties customarily exercised by the chief executive officer of a business corporation, including the authority to sign on behalf of the corporation deeds, leases, contracts, powers of attorney and other documents, and the duty to execute all directions and resolutions of the board of directors. He shall preside at all meetings of the stockholders, and shall perform such other duties as may be specified in the by-laws.</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ALTERNATE PRESIDING OFFICER.</w:t>
      </w:r>
    </w:p>
    <w:p>
      <w:pPr>
        <w:spacing w:after="0" w:line="176" w:lineRule="exact"/>
        <w:rPr>
          <w:sz w:val="20"/>
          <w:szCs w:val="20"/>
          <w:color w:val="auto"/>
        </w:rPr>
      </w:pPr>
    </w:p>
    <w:p>
      <w:pPr>
        <w:ind w:right="3079" w:firstLine="797"/>
        <w:spacing w:after="0" w:line="242" w:lineRule="auto"/>
        <w:tabs>
          <w:tab w:leader="none" w:pos="1163"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from any meeting of the stockholders or directors of the person designated in the by-laws to preside if present at such meeting, the chief executive officer, the chairman of the board or the president (in that order of precedence) shall preside at such meeting.</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54" w:name="page55"/>
    <w:bookmarkEnd w:id="54"/>
    <w:p>
      <w:pPr>
        <w:ind w:left="1883"/>
        <w:spacing w:after="0"/>
        <w:rPr>
          <w:sz w:val="20"/>
          <w:szCs w:val="20"/>
          <w:color w:val="auto"/>
        </w:rPr>
      </w:pPr>
      <w:r>
        <w:rPr>
          <w:rFonts w:ascii="Courier New" w:cs="Courier New" w:eastAsia="Courier New" w:hAnsi="Courier New"/>
          <w:sz w:val="15"/>
          <w:szCs w:val="15"/>
          <w:color w:val="auto"/>
        </w:rPr>
        <w:t>THE VICE PRESIDENT.</w:t>
      </w:r>
    </w:p>
    <w:p>
      <w:pPr>
        <w:spacing w:after="0" w:line="176" w:lineRule="exact"/>
        <w:rPr>
          <w:sz w:val="20"/>
          <w:szCs w:val="20"/>
          <w:color w:val="auto"/>
        </w:rPr>
      </w:pPr>
    </w:p>
    <w:p>
      <w:pPr>
        <w:ind w:left="-797" w:right="3079" w:firstLine="797"/>
        <w:spacing w:after="0" w:line="242" w:lineRule="auto"/>
        <w:tabs>
          <w:tab w:leader="none" w:pos="36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there is not more than one vice president, the vice president shall perform all such duties and exercise all such powers as may be delegated to him by the chief executive officer, and such vice president shall in the event of the absence or disability of the chief executive officer perform such duties and exercise such powers of such officers as may be designated by the board of directors.</w:t>
      </w:r>
    </w:p>
    <w:p>
      <w:pPr>
        <w:spacing w:after="0" w:line="176" w:lineRule="exact"/>
        <w:rPr>
          <w:rFonts w:ascii="Courier New" w:cs="Courier New" w:eastAsia="Courier New" w:hAnsi="Courier New"/>
          <w:sz w:val="15"/>
          <w:szCs w:val="15"/>
          <w:color w:val="auto"/>
        </w:rPr>
      </w:pPr>
    </w:p>
    <w:p>
      <w:pPr>
        <w:ind w:left="-797" w:right="3079" w:firstLine="797"/>
        <w:spacing w:after="0" w:line="242" w:lineRule="auto"/>
        <w:tabs>
          <w:tab w:leader="none" w:pos="36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provision shall be made by the board of directors for more than one vice president, each such vice president, including any designated as executive vice president, shall perform such duties and exercise such powers as may be delegated to him by the chief executive officer, and shall perform such further duties and exercise such further powers as the board of directors shall prescribe; and in the absence or disability of the president his duties shall be performed and his powers shall be exercised by one or more vice presidents to the extent designated by the chief executive officer or by the board of directors.</w:t>
      </w:r>
    </w:p>
    <w:p>
      <w:pPr>
        <w:spacing w:after="0" w:line="176" w:lineRule="exact"/>
        <w:rPr>
          <w:sz w:val="20"/>
          <w:szCs w:val="20"/>
          <w:color w:val="auto"/>
        </w:rPr>
      </w:pPr>
    </w:p>
    <w:p>
      <w:pPr>
        <w:ind w:left="2063"/>
        <w:spacing w:after="0"/>
        <w:rPr>
          <w:sz w:val="20"/>
          <w:szCs w:val="20"/>
          <w:color w:val="auto"/>
        </w:rPr>
      </w:pPr>
      <w:r>
        <w:rPr>
          <w:rFonts w:ascii="Courier New" w:cs="Courier New" w:eastAsia="Courier New" w:hAnsi="Courier New"/>
          <w:sz w:val="15"/>
          <w:szCs w:val="15"/>
          <w:color w:val="auto"/>
        </w:rPr>
        <w:t>THE SECRETARY.</w:t>
      </w:r>
    </w:p>
    <w:p>
      <w:pPr>
        <w:spacing w:after="0" w:line="176" w:lineRule="exact"/>
        <w:rPr>
          <w:sz w:val="20"/>
          <w:szCs w:val="20"/>
          <w:color w:val="auto"/>
        </w:rPr>
      </w:pPr>
    </w:p>
    <w:p>
      <w:pPr>
        <w:ind w:left="-797" w:right="3079" w:firstLine="797"/>
        <w:spacing w:after="0" w:line="242" w:lineRule="auto"/>
        <w:tabs>
          <w:tab w:leader="none" w:pos="36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secretary shall attend all sessions of the board of directors and all meetings of the stockholders and record all votes and minutes of all proceedings in a book to be kept for that purpose; and shall perform like duties for other committees as required. He shall give, or cause to be given, notice of all meetings of the stockholders and of the board of directors, and shall perform such other duties as shall be prescribed by the board of directors or chief executive officer.</w:t>
      </w:r>
    </w:p>
    <w:p>
      <w:pPr>
        <w:spacing w:after="0" w:line="176" w:lineRule="exact"/>
        <w:rPr>
          <w:rFonts w:ascii="Courier New" w:cs="Courier New" w:eastAsia="Courier New" w:hAnsi="Courier New"/>
          <w:sz w:val="15"/>
          <w:szCs w:val="15"/>
          <w:color w:val="auto"/>
        </w:rPr>
      </w:pPr>
    </w:p>
    <w:p>
      <w:pPr>
        <w:ind w:left="-797" w:right="3159" w:firstLine="1155"/>
        <w:spacing w:after="0" w:line="242" w:lineRule="auto"/>
        <w:tabs>
          <w:tab w:leader="none" w:pos="724"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assistant secretary or assistant secretaries as may be appointed by the board of directors, shall, to the extent authorized by the board of directors, participate with the secretary and assist him in the performance of his duties, and exercise all the powers and discharge all the duties of the secretary to the extent prescribed by the board of directors; and in the event of the absence or disability of the secretary or any assistant secretary the duties of the secretary or of such assistant secretary shall be performed by the assistant secretary designated by the chief executive officer or the board of directors.</w:t>
      </w:r>
    </w:p>
    <w:p>
      <w:pPr>
        <w:spacing w:after="0" w:line="348" w:lineRule="exact"/>
        <w:rPr>
          <w:sz w:val="20"/>
          <w:szCs w:val="20"/>
          <w:color w:val="auto"/>
        </w:rPr>
      </w:pPr>
    </w:p>
    <w:p>
      <w:pPr>
        <w:ind w:left="2063"/>
        <w:spacing w:after="0"/>
        <w:rPr>
          <w:sz w:val="20"/>
          <w:szCs w:val="20"/>
          <w:color w:val="auto"/>
        </w:rPr>
      </w:pPr>
      <w:r>
        <w:rPr>
          <w:rFonts w:ascii="Courier New" w:cs="Courier New" w:eastAsia="Courier New" w:hAnsi="Courier New"/>
          <w:sz w:val="15"/>
          <w:szCs w:val="15"/>
          <w:color w:val="auto"/>
        </w:rPr>
        <w:t>THE TREASURER.</w:t>
      </w:r>
    </w:p>
    <w:p>
      <w:pPr>
        <w:spacing w:after="0" w:line="176" w:lineRule="exact"/>
        <w:rPr>
          <w:sz w:val="20"/>
          <w:szCs w:val="20"/>
          <w:color w:val="auto"/>
        </w:rPr>
      </w:pPr>
    </w:p>
    <w:p>
      <w:pPr>
        <w:ind w:left="-797" w:right="3079" w:firstLine="797"/>
        <w:spacing w:after="0" w:line="242" w:lineRule="auto"/>
        <w:tabs>
          <w:tab w:leader="none" w:pos="366"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treasurer shall perform such duties in relation to the finances of the corporation as shall be prescribed by the board of directors, and in relation to such duties shall be subject to the supervision and direction of the board of directors and the chief executive officer, as circumstances may require.</w:t>
      </w:r>
    </w:p>
    <w:p>
      <w:pPr>
        <w:spacing w:after="0" w:line="175" w:lineRule="exact"/>
        <w:rPr>
          <w:rFonts w:ascii="Courier New" w:cs="Courier New" w:eastAsia="Courier New" w:hAnsi="Courier New"/>
          <w:sz w:val="15"/>
          <w:szCs w:val="15"/>
          <w:color w:val="auto"/>
        </w:rPr>
      </w:pPr>
    </w:p>
    <w:p>
      <w:pPr>
        <w:ind w:left="-797" w:right="3079" w:firstLine="1155"/>
        <w:spacing w:after="0" w:line="242" w:lineRule="auto"/>
        <w:tabs>
          <w:tab w:leader="none" w:pos="724"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assistant treasurer or assistant treasurers as may be appointed by the board of directors shall, to the extent authorized by the board of directors, participate with the treasurer and assist him in the performance of his duties, and exercise all the powers and discharge all the duties of the treasurer to the extent prescribed by the board of directors; and in the event of the absence or disability of the treasurer or of any assistant treasurer, the duties of the treasurer or of such assistant treasurer shall be performed by the assistant treasurer designated by the chief executive officer or the board of directors.</w:t>
      </w:r>
    </w:p>
    <w:p>
      <w:pPr>
        <w:spacing w:after="0" w:line="176" w:lineRule="exact"/>
        <w:rPr>
          <w:sz w:val="20"/>
          <w:szCs w:val="20"/>
          <w:color w:val="auto"/>
        </w:rPr>
      </w:pPr>
    </w:p>
    <w:p>
      <w:pPr>
        <w:ind w:left="2603"/>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422"/>
          </w:cols>
          <w:pgMar w:left="1037" w:top="633" w:right="1440" w:bottom="1440" w:gutter="0" w:footer="0" w:header="0"/>
        </w:sectPr>
      </w:pPr>
    </w:p>
    <w:bookmarkStart w:id="55" w:name="page56"/>
    <w:bookmarkEnd w:id="55"/>
    <w:p>
      <w:pPr>
        <w:ind w:left="2063"/>
        <w:spacing w:after="0"/>
        <w:rPr>
          <w:sz w:val="20"/>
          <w:szCs w:val="20"/>
          <w:color w:val="auto"/>
        </w:rPr>
      </w:pPr>
      <w:r>
        <w:rPr>
          <w:rFonts w:ascii="Courier New" w:cs="Courier New" w:eastAsia="Courier New" w:hAnsi="Courier New"/>
          <w:sz w:val="15"/>
          <w:szCs w:val="15"/>
          <w:color w:val="auto"/>
        </w:rPr>
        <w:t>THE CONTROLLER.</w:t>
      </w:r>
    </w:p>
    <w:p>
      <w:pPr>
        <w:spacing w:after="0" w:line="176" w:lineRule="exact"/>
        <w:rPr>
          <w:sz w:val="20"/>
          <w:szCs w:val="20"/>
          <w:color w:val="auto"/>
        </w:rPr>
      </w:pPr>
    </w:p>
    <w:p>
      <w:pPr>
        <w:ind w:left="-797" w:right="3079" w:firstLine="797"/>
        <w:spacing w:after="0" w:line="242" w:lineRule="auto"/>
        <w:tabs>
          <w:tab w:leader="none" w:pos="36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shall be the duty of the controller, subject and pursuant to the authority of the board of directors and of the chief executive officer, to provide for the keeping of full and accurate records and accounts of receipts, disbursements and all other transactions of the corporation, to make proper report thereof as required and to perform such other duties as may be designated by the board of directors or the chief executive officer.</w:t>
      </w:r>
    </w:p>
    <w:p>
      <w:pPr>
        <w:spacing w:after="0" w:line="174" w:lineRule="exact"/>
        <w:rPr>
          <w:sz w:val="20"/>
          <w:szCs w:val="20"/>
          <w:color w:val="auto"/>
        </w:rPr>
      </w:pPr>
    </w:p>
    <w:p>
      <w:pPr>
        <w:ind w:left="2243"/>
        <w:spacing w:after="0"/>
        <w:rPr>
          <w:sz w:val="20"/>
          <w:szCs w:val="20"/>
          <w:color w:val="auto"/>
        </w:rPr>
      </w:pPr>
      <w:r>
        <w:rPr>
          <w:rFonts w:ascii="Courier New" w:cs="Courier New" w:eastAsia="Courier New" w:hAnsi="Courier New"/>
          <w:sz w:val="15"/>
          <w:szCs w:val="15"/>
          <w:color w:val="auto"/>
        </w:rPr>
        <w:t>VACANCIES.</w:t>
      </w:r>
    </w:p>
    <w:p>
      <w:pPr>
        <w:spacing w:after="0" w:line="176" w:lineRule="exact"/>
        <w:rPr>
          <w:sz w:val="20"/>
          <w:szCs w:val="20"/>
          <w:color w:val="auto"/>
        </w:rPr>
      </w:pPr>
    </w:p>
    <w:p>
      <w:pPr>
        <w:ind w:left="-797" w:right="3079" w:firstLine="797"/>
        <w:spacing w:after="0" w:line="242" w:lineRule="auto"/>
        <w:tabs>
          <w:tab w:leader="none" w:pos="36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office of any director or officer becomes vacant by reason of death, resignation, retirement, disqualification, removal from office or otherwise, or if the authorized number of directors be increased, the resulting vacancy or vacancies may be filled by a majority of the directors then in office, although less than a quorum, provided notice of intention to fill a vacancy in the board shall have been included in the notice of the meeting. The persons so chosen shall hold office until the next annual election and until their successors are duly elected and qualified, unless sooner displaced. The provisions of this by-law with respect to the filling of vacancies in the office of any director are subject to the provisions of Section 10 of Article Fourth of the certificate of incorporation.</w:t>
      </w:r>
    </w:p>
    <w:p>
      <w:pPr>
        <w:spacing w:after="0" w:line="178" w:lineRule="exact"/>
        <w:rPr>
          <w:sz w:val="20"/>
          <w:szCs w:val="20"/>
          <w:color w:val="auto"/>
        </w:rPr>
      </w:pPr>
    </w:p>
    <w:p>
      <w:pPr>
        <w:ind w:left="1083"/>
        <w:spacing w:after="0"/>
        <w:rPr>
          <w:sz w:val="20"/>
          <w:szCs w:val="20"/>
          <w:color w:val="auto"/>
        </w:rPr>
      </w:pPr>
      <w:r>
        <w:rPr>
          <w:rFonts w:ascii="Courier New" w:cs="Courier New" w:eastAsia="Courier New" w:hAnsi="Courier New"/>
          <w:sz w:val="15"/>
          <w:szCs w:val="15"/>
          <w:color w:val="auto"/>
        </w:rPr>
        <w:t>DUTIES OF OFFICERS MAY BE DELEGATED.</w:t>
      </w:r>
    </w:p>
    <w:p>
      <w:pPr>
        <w:spacing w:after="0" w:line="176" w:lineRule="exact"/>
        <w:rPr>
          <w:sz w:val="20"/>
          <w:szCs w:val="20"/>
          <w:color w:val="auto"/>
        </w:rPr>
      </w:pPr>
    </w:p>
    <w:p>
      <w:pPr>
        <w:ind w:left="-797" w:right="3159" w:firstLine="797"/>
        <w:spacing w:after="0" w:line="242" w:lineRule="auto"/>
        <w:tabs>
          <w:tab w:leader="none" w:pos="36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the absence of any officer of the corporation, or for any other reason that the board of directors may deem sufficient, the board may delegate, for the time being, the powers or duties, or any of them, of such officer to any other officer, or to any directors.</w:t>
      </w:r>
    </w:p>
    <w:p>
      <w:pPr>
        <w:spacing w:after="0" w:line="173" w:lineRule="exact"/>
        <w:rPr>
          <w:sz w:val="20"/>
          <w:szCs w:val="20"/>
          <w:color w:val="auto"/>
        </w:rPr>
      </w:pPr>
    </w:p>
    <w:p>
      <w:pPr>
        <w:ind w:left="1703"/>
        <w:spacing w:after="0"/>
        <w:rPr>
          <w:sz w:val="20"/>
          <w:szCs w:val="20"/>
          <w:color w:val="auto"/>
        </w:rPr>
      </w:pPr>
      <w:r>
        <w:rPr>
          <w:rFonts w:ascii="Courier New" w:cs="Courier New" w:eastAsia="Courier New" w:hAnsi="Courier New"/>
          <w:sz w:val="15"/>
          <w:szCs w:val="15"/>
          <w:color w:val="auto"/>
        </w:rPr>
        <w:t>CERTIFICATES OF STOCK.</w:t>
      </w:r>
    </w:p>
    <w:p>
      <w:pPr>
        <w:spacing w:after="0" w:line="176" w:lineRule="exact"/>
        <w:rPr>
          <w:sz w:val="20"/>
          <w:szCs w:val="20"/>
          <w:color w:val="auto"/>
        </w:rPr>
      </w:pPr>
    </w:p>
    <w:p>
      <w:pPr>
        <w:ind w:left="-797" w:right="3079" w:firstLine="797"/>
        <w:spacing w:after="0" w:line="261" w:lineRule="auto"/>
        <w:tabs>
          <w:tab w:leader="none" w:pos="366"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certificates of stock of the corporation shall be numbered and entered in the books of the corporation as they are issued. They shall exhibit the holder's name and number of shares and shall be signed by the chairman of the board or the president or a vice president and by the treasurer or an assistant treasurer or the secretary or an assistant secretary. Where a certificate is countersigned by (1) a transfer agent other than the corporation or its employee, or (2) a registrar other than the corporation or its employee, the signature of any such officers may be facsimile. In case any officer or officers who shall have signed or whose facsimile signature shall have been used on any such certificate or certificates shall cease to be such officer or officers of the corporation because of death, resignation or otherwise, before such certificate or certificates shall have been delivered by the corporation, such certificate or certificates may be issued and delivered as though the person who signed such certificate or certificates or whose facsimile signature shall have been used thereon had not ceased to be an officer of the corporation.</w:t>
      </w:r>
    </w:p>
    <w:p>
      <w:pPr>
        <w:spacing w:after="0" w:line="163" w:lineRule="exact"/>
        <w:rPr>
          <w:sz w:val="20"/>
          <w:szCs w:val="20"/>
          <w:color w:val="auto"/>
        </w:rPr>
      </w:pPr>
    </w:p>
    <w:p>
      <w:pPr>
        <w:ind w:left="1783"/>
        <w:spacing w:after="0"/>
        <w:rPr>
          <w:sz w:val="20"/>
          <w:szCs w:val="20"/>
          <w:color w:val="auto"/>
        </w:rPr>
      </w:pPr>
      <w:r>
        <w:rPr>
          <w:rFonts w:ascii="Courier New" w:cs="Courier New" w:eastAsia="Courier New" w:hAnsi="Courier New"/>
          <w:sz w:val="15"/>
          <w:szCs w:val="15"/>
          <w:color w:val="auto"/>
        </w:rPr>
        <w:t>TRANSFERS OF STOCKS.</w:t>
      </w:r>
    </w:p>
    <w:p>
      <w:pPr>
        <w:spacing w:after="0" w:line="176" w:lineRule="exact"/>
        <w:rPr>
          <w:sz w:val="20"/>
          <w:szCs w:val="20"/>
          <w:color w:val="auto"/>
        </w:rPr>
      </w:pPr>
    </w:p>
    <w:p>
      <w:pPr>
        <w:ind w:left="-797" w:right="3079" w:firstLine="797"/>
        <w:spacing w:after="0" w:line="241" w:lineRule="auto"/>
        <w:tabs>
          <w:tab w:leader="none" w:pos="36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of stock shall be made on the books of the corporation only by the person named in the certificate or by attorney, lawfully constituted in writing, and upon surrender of the certificate therefor.</w:t>
      </w:r>
    </w:p>
    <w:p>
      <w:pPr>
        <w:spacing w:after="0" w:line="346" w:lineRule="exact"/>
        <w:rPr>
          <w:sz w:val="20"/>
          <w:szCs w:val="20"/>
          <w:color w:val="auto"/>
        </w:rPr>
      </w:pPr>
    </w:p>
    <w:p>
      <w:pPr>
        <w:ind w:left="2603"/>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422"/>
          </w:cols>
          <w:pgMar w:left="1037" w:top="633" w:right="1440" w:bottom="1440" w:gutter="0" w:footer="0" w:header="0"/>
        </w:sectPr>
      </w:pPr>
    </w:p>
    <w:bookmarkStart w:id="56" w:name="page57"/>
    <w:bookmarkEnd w:id="56"/>
    <w:p>
      <w:pPr>
        <w:ind w:left="1883"/>
        <w:spacing w:after="0"/>
        <w:rPr>
          <w:sz w:val="20"/>
          <w:szCs w:val="20"/>
          <w:color w:val="auto"/>
        </w:rPr>
      </w:pPr>
      <w:r>
        <w:rPr>
          <w:rFonts w:ascii="Courier New" w:cs="Courier New" w:eastAsia="Courier New" w:hAnsi="Courier New"/>
          <w:sz w:val="15"/>
          <w:szCs w:val="15"/>
          <w:color w:val="auto"/>
        </w:rPr>
        <w:t>FIXING RECORD DATE.</w:t>
      </w:r>
    </w:p>
    <w:p>
      <w:pPr>
        <w:spacing w:after="0" w:line="176" w:lineRule="exact"/>
        <w:rPr>
          <w:sz w:val="20"/>
          <w:szCs w:val="20"/>
          <w:color w:val="auto"/>
        </w:rPr>
      </w:pPr>
    </w:p>
    <w:p>
      <w:pPr>
        <w:ind w:left="-797" w:right="3079" w:firstLine="797"/>
        <w:spacing w:after="0" w:line="261" w:lineRule="auto"/>
        <w:tabs>
          <w:tab w:leader="none" w:pos="366"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shall have power to fix in advance a date, not exceeding sixty nor less than ten days preceding the date of any meeting of stockholders or the date for the payment of any dividend, or the date for the allotments of rights, or the date when any redemption, selection for redemption, or change or conversion or exchange of capital stock shall go into effect, or the date in connection with obtaining such consent, as a record date for the determination of the stockholders entitled to notice of, and to vote at, any such meeting and any adjournment thereof, or entitled to receive payment of any such dividend, or to any such allotment of rights, or to exercise the rights in respect of any such redemption, selection for redemption, change, conversion or exchange of capital stock, or to give the consent of stockholders for any purpose or for the purpose of any other lawful action and in such case only such stockholders as shall be stockholders of record on the date so fixed shall be entitled to such notice of, and to vote at, such meeting and any adjournment thereof, or to receive payments of such dividend, or to receive such allotment of rights, or to exercise such rights, or to give such consent, as the case may be, notwithstanding any transfer of any stock on the books of the corporation after any such record date fixed as aforesaid; and such power shall be applicable to both preferred and common stocks together or to either separately.</w:t>
      </w:r>
    </w:p>
    <w:p>
      <w:pPr>
        <w:spacing w:after="0" w:line="161" w:lineRule="exact"/>
        <w:rPr>
          <w:sz w:val="20"/>
          <w:szCs w:val="20"/>
          <w:color w:val="auto"/>
        </w:rPr>
      </w:pPr>
    </w:p>
    <w:p>
      <w:pPr>
        <w:ind w:left="1603"/>
        <w:spacing w:after="0"/>
        <w:rPr>
          <w:sz w:val="20"/>
          <w:szCs w:val="20"/>
          <w:color w:val="auto"/>
        </w:rPr>
      </w:pPr>
      <w:r>
        <w:rPr>
          <w:rFonts w:ascii="Courier New" w:cs="Courier New" w:eastAsia="Courier New" w:hAnsi="Courier New"/>
          <w:sz w:val="15"/>
          <w:szCs w:val="15"/>
          <w:color w:val="auto"/>
        </w:rPr>
        <w:t>REGISTERED STOCKHOLDERS.</w:t>
      </w:r>
    </w:p>
    <w:p>
      <w:pPr>
        <w:spacing w:after="0" w:line="176" w:lineRule="exact"/>
        <w:rPr>
          <w:sz w:val="20"/>
          <w:szCs w:val="20"/>
          <w:color w:val="auto"/>
        </w:rPr>
      </w:pPr>
    </w:p>
    <w:p>
      <w:pPr>
        <w:ind w:left="-797" w:right="3079" w:firstLine="797"/>
        <w:spacing w:after="0" w:line="263" w:lineRule="auto"/>
        <w:tabs>
          <w:tab w:leader="none" w:pos="366"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be entitled to treat the holder of record of any share or shares of stock as the holder in fact thereof, and accordingly shall not be bound to recognize any equitable or other claim to or interest in such share on the part of any other person, whether or not it shall have express or other notice thereof, save as expressly provided by the laws of Delaware.</w:t>
      </w:r>
    </w:p>
    <w:p>
      <w:pPr>
        <w:spacing w:after="0" w:line="161" w:lineRule="exact"/>
        <w:rPr>
          <w:sz w:val="20"/>
          <w:szCs w:val="20"/>
          <w:color w:val="auto"/>
        </w:rPr>
      </w:pPr>
    </w:p>
    <w:p>
      <w:pPr>
        <w:ind w:left="1963"/>
        <w:spacing w:after="0"/>
        <w:rPr>
          <w:sz w:val="20"/>
          <w:szCs w:val="20"/>
          <w:color w:val="auto"/>
        </w:rPr>
      </w:pPr>
      <w:r>
        <w:rPr>
          <w:rFonts w:ascii="Courier New" w:cs="Courier New" w:eastAsia="Courier New" w:hAnsi="Courier New"/>
          <w:sz w:val="15"/>
          <w:szCs w:val="15"/>
          <w:color w:val="auto"/>
        </w:rPr>
        <w:t>LOST CERTIFICATE.</w:t>
      </w:r>
    </w:p>
    <w:p>
      <w:pPr>
        <w:spacing w:after="0" w:line="176" w:lineRule="exact"/>
        <w:rPr>
          <w:sz w:val="20"/>
          <w:szCs w:val="20"/>
          <w:color w:val="auto"/>
        </w:rPr>
      </w:pPr>
    </w:p>
    <w:p>
      <w:pPr>
        <w:ind w:left="-797" w:right="3079" w:firstLine="797"/>
        <w:spacing w:after="0" w:line="242" w:lineRule="auto"/>
        <w:tabs>
          <w:tab w:leader="none" w:pos="36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claiming a certificate of stock to be lost, stolen or destroyed shall furnish the corporation with such evidence of the ownership thereof and of such loss, theft or destruction as shall be satisfactory to the corporation and shall, unless the board of directors shall waive the same, give to the corporation a bond of indemnity with one or more sureties satisfactory to the board, in such an amount as the board may require, to indemnify the corporation against any claim that may be made against it on account of the alleged loss, theft or destruction of any such certificate or the issuance of a new certificate in lieu thereof; and thereupon the board or any officer or officers designated by the board may cause a new certificate to be issued of the same tenor and for the same number of shares as the one alleged to be lost, stolen or destroyed.</w:t>
      </w:r>
    </w:p>
    <w:p>
      <w:pPr>
        <w:spacing w:after="0" w:line="178" w:lineRule="exact"/>
        <w:rPr>
          <w:sz w:val="20"/>
          <w:szCs w:val="20"/>
          <w:color w:val="auto"/>
        </w:rPr>
      </w:pPr>
    </w:p>
    <w:p>
      <w:pPr>
        <w:ind w:left="1783"/>
        <w:spacing w:after="0"/>
        <w:rPr>
          <w:sz w:val="20"/>
          <w:szCs w:val="20"/>
          <w:color w:val="auto"/>
        </w:rPr>
      </w:pPr>
      <w:r>
        <w:rPr>
          <w:rFonts w:ascii="Courier New" w:cs="Courier New" w:eastAsia="Courier New" w:hAnsi="Courier New"/>
          <w:sz w:val="15"/>
          <w:szCs w:val="15"/>
          <w:color w:val="auto"/>
        </w:rPr>
        <w:t>INSPECTION OF BOOKS.</w:t>
      </w:r>
    </w:p>
    <w:p>
      <w:pPr>
        <w:spacing w:after="0" w:line="176" w:lineRule="exact"/>
        <w:rPr>
          <w:sz w:val="20"/>
          <w:szCs w:val="20"/>
          <w:color w:val="auto"/>
        </w:rPr>
      </w:pPr>
    </w:p>
    <w:p>
      <w:pPr>
        <w:ind w:left="-797" w:right="3079" w:firstLine="797"/>
        <w:spacing w:after="0" w:line="242" w:lineRule="auto"/>
        <w:tabs>
          <w:tab w:leader="none" w:pos="36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permitted by law, the directors shall determine from time to time whether, and if allowed, when and under what conditions and regulations, the accounts and books of the corporation (except such as may by statute be specifically open to inspection) or any of them shall be open to the inspection of the stockholders, and the stockholders' rights in this respect are and shall be restricted and limited accordingly.</w:t>
      </w:r>
    </w:p>
    <w:p>
      <w:pPr>
        <w:spacing w:after="0" w:line="174" w:lineRule="exact"/>
        <w:rPr>
          <w:sz w:val="20"/>
          <w:szCs w:val="20"/>
          <w:color w:val="auto"/>
        </w:rPr>
      </w:pPr>
    </w:p>
    <w:p>
      <w:pPr>
        <w:ind w:left="2423"/>
        <w:spacing w:after="0"/>
        <w:rPr>
          <w:sz w:val="20"/>
          <w:szCs w:val="20"/>
          <w:color w:val="auto"/>
        </w:rPr>
      </w:pPr>
      <w:r>
        <w:rPr>
          <w:rFonts w:ascii="Courier New" w:cs="Courier New" w:eastAsia="Courier New" w:hAnsi="Courier New"/>
          <w:sz w:val="15"/>
          <w:szCs w:val="15"/>
          <w:color w:val="auto"/>
        </w:rPr>
        <w:t>CHECKS.</w:t>
      </w:r>
    </w:p>
    <w:p>
      <w:pPr>
        <w:spacing w:after="0" w:line="176" w:lineRule="exact"/>
        <w:rPr>
          <w:sz w:val="20"/>
          <w:szCs w:val="20"/>
          <w:color w:val="auto"/>
        </w:rPr>
      </w:pPr>
    </w:p>
    <w:p>
      <w:pPr>
        <w:ind w:left="-797" w:right="3079" w:firstLine="797"/>
        <w:spacing w:after="0" w:line="242" w:lineRule="auto"/>
        <w:tabs>
          <w:tab w:leader="none" w:pos="36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of the corporation shall be signed by such officer or officers and checks or demands for money shall be signed by such officer or officers or such other person or persons as the board of directors may from time to time designate.</w:t>
      </w:r>
    </w:p>
    <w:p>
      <w:pPr>
        <w:spacing w:after="0" w:line="173" w:lineRule="exact"/>
        <w:rPr>
          <w:sz w:val="20"/>
          <w:szCs w:val="20"/>
          <w:color w:val="auto"/>
        </w:rPr>
      </w:pPr>
    </w:p>
    <w:p>
      <w:pPr>
        <w:ind w:left="2603"/>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422"/>
          </w:cols>
          <w:pgMar w:left="1037" w:top="633" w:right="1440" w:bottom="1440" w:gutter="0" w:footer="0" w:header="0"/>
        </w:sectPr>
      </w:pPr>
    </w:p>
    <w:bookmarkStart w:id="57" w:name="page58"/>
    <w:bookmarkEnd w:id="57"/>
    <w:p>
      <w:pPr>
        <w:ind w:left="2940"/>
        <w:spacing w:after="0"/>
        <w:rPr>
          <w:sz w:val="20"/>
          <w:szCs w:val="20"/>
          <w:color w:val="auto"/>
        </w:rPr>
      </w:pPr>
      <w:r>
        <w:rPr>
          <w:rFonts w:ascii="Courier New" w:cs="Courier New" w:eastAsia="Courier New" w:hAnsi="Courier New"/>
          <w:sz w:val="15"/>
          <w:szCs w:val="15"/>
          <w:color w:val="auto"/>
        </w:rPr>
        <w:t>FISCAL YEAR.</w:t>
      </w:r>
    </w:p>
    <w:p>
      <w:pPr>
        <w:spacing w:after="0" w:line="174" w:lineRule="exact"/>
        <w:rPr>
          <w:sz w:val="20"/>
          <w:szCs w:val="20"/>
          <w:color w:val="auto"/>
        </w:rPr>
      </w:pPr>
    </w:p>
    <w:p>
      <w:pPr>
        <w:ind w:left="1160" w:hanging="363"/>
        <w:spacing w:after="0"/>
        <w:tabs>
          <w:tab w:leader="none" w:pos="11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shall begin the first day of January in each year.</w:t>
      </w:r>
    </w:p>
    <w:p>
      <w:pPr>
        <w:spacing w:after="0" w:line="174" w:lineRule="exact"/>
        <w:rPr>
          <w:rFonts w:ascii="Courier New" w:cs="Courier New" w:eastAsia="Courier New" w:hAnsi="Courier New"/>
          <w:sz w:val="15"/>
          <w:szCs w:val="15"/>
          <w:color w:val="auto"/>
        </w:rPr>
      </w:pPr>
    </w:p>
    <w:p>
      <w:pPr>
        <w:ind w:left="30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75" w:lineRule="exact"/>
        <w:rPr>
          <w:rFonts w:ascii="Courier New" w:cs="Courier New" w:eastAsia="Courier New" w:hAnsi="Courier New"/>
          <w:sz w:val="15"/>
          <w:szCs w:val="15"/>
          <w:color w:val="auto"/>
        </w:rPr>
      </w:pPr>
    </w:p>
    <w:p>
      <w:pPr>
        <w:ind w:right="3259" w:firstLine="797"/>
        <w:spacing w:after="0" w:line="274" w:lineRule="auto"/>
        <w:tabs>
          <w:tab w:leader="none" w:pos="1163"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upon the capital stock of the corporation, when earned, may be declared by the board of directors at any regular or special meeting.</w:t>
      </w:r>
    </w:p>
    <w:p>
      <w:pPr>
        <w:spacing w:after="0" w:line="154"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Before payment of any dividend or making any distribution of profits, there may be set aside out of the surplus or net profits of the corporation such sum or sums as the directors from time to time, in their absolute discretion, think proper as a reserve fund to meet contingencies or for equalizing dividends, or for repairing or maintaining any property of the corporation, or for such other purpose as the directors shall think conducive to the interests of the corporation.</w:t>
      </w:r>
    </w:p>
    <w:p>
      <w:pPr>
        <w:spacing w:after="0" w:line="17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NOTICES.</w:t>
      </w:r>
    </w:p>
    <w:p>
      <w:pPr>
        <w:spacing w:after="0" w:line="176" w:lineRule="exact"/>
        <w:rPr>
          <w:sz w:val="20"/>
          <w:szCs w:val="20"/>
          <w:color w:val="auto"/>
        </w:rPr>
      </w:pPr>
    </w:p>
    <w:p>
      <w:pPr>
        <w:ind w:right="3079" w:firstLine="797"/>
        <w:spacing w:after="0" w:line="242" w:lineRule="auto"/>
        <w:tabs>
          <w:tab w:leader="none" w:pos="116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under the provisions of these by-laws notice is required to be given to any director, officer or stockholder, it shall not be construed necessarily to mean personal notice, but such notice may be given in writing, either personally or by mail by depositing the same in the post office or a letter-box, in a post-paid, sealed wrapper, addressed to such stockholder, officer or director at his, her or its address as appears on the books of the corporation, or, in default of other address, to such director, officer or stockholder at the General Post Office in the City of Wilmington, Delaware, or in the General Post Office in the City of New York, and such notice shall be deemed to be given at the time when the same shall be thus mailed; provided, however, that in the case of any stockholder or director who is an officer or employee of this corporation and engaged actively in the discharge of his duties at one of the offices or places of business of this corporation, it shall be a sufficient mailing of notice to his address to mail such notice to such officer or employee at the office or place of business aforesaid. Any stockholder, director or officer may waive any notice required to be given under these by-laws.</w:t>
      </w:r>
    </w:p>
    <w:p>
      <w:pPr>
        <w:spacing w:after="0" w:line="18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AMENDMENTS.</w:t>
      </w:r>
    </w:p>
    <w:p>
      <w:pPr>
        <w:spacing w:after="0" w:line="176" w:lineRule="exact"/>
        <w:rPr>
          <w:sz w:val="20"/>
          <w:szCs w:val="20"/>
          <w:color w:val="auto"/>
        </w:rPr>
      </w:pPr>
    </w:p>
    <w:p>
      <w:pPr>
        <w:ind w:right="3079" w:firstLine="797"/>
        <w:spacing w:after="0" w:line="242" w:lineRule="auto"/>
        <w:tabs>
          <w:tab w:leader="none" w:pos="1163"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by-laws of the corporation may be altered or amended by the affirmative vote of a majority of the stock issued and outstanding and entitled to vote thereat, at any regular meeting of the stockholders, without notice of the proposed alteration or amendment, and at any special meeting of the stockholders, if notice of the proposed alteration or amendment be contained in the notice of the meeting, or by the affirmative vote of a majority of the board of directors at any regular meeting of the board, or at any special meeting of the board, provided notice of the proposed amendment shall have been included in the notice of such regular or special meeting. At no time shall the by-laws be amended so as to be inconsistent with the rights of the holders of the preferred stock set forth in Section 10 of Article Fourth of the certificate of incorporation.</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3" w:right="1440" w:bottom="1440" w:gutter="0" w:footer="0" w:header="0"/>
        </w:sectPr>
      </w:pPr>
    </w:p>
    <w:bookmarkStart w:id="58" w:name="page59"/>
    <w:bookmarkEnd w:id="58"/>
    <w:p>
      <w:pPr>
        <w:ind w:left="1783"/>
        <w:spacing w:after="0"/>
        <w:rPr>
          <w:sz w:val="20"/>
          <w:szCs w:val="20"/>
          <w:color w:val="auto"/>
        </w:rPr>
      </w:pPr>
      <w:r>
        <w:rPr>
          <w:rFonts w:ascii="Courier New" w:cs="Courier New" w:eastAsia="Courier New" w:hAnsi="Courier New"/>
          <w:sz w:val="15"/>
          <w:szCs w:val="15"/>
          <w:color w:val="auto"/>
        </w:rPr>
        <w:t>EMERGENCY PROVISIONS.</w:t>
      </w:r>
    </w:p>
    <w:p>
      <w:pPr>
        <w:spacing w:after="0" w:line="176" w:lineRule="exact"/>
        <w:rPr>
          <w:sz w:val="20"/>
          <w:szCs w:val="20"/>
          <w:color w:val="auto"/>
        </w:rPr>
      </w:pPr>
    </w:p>
    <w:p>
      <w:pPr>
        <w:ind w:left="-797" w:right="3079" w:firstLine="797"/>
        <w:spacing w:after="0" w:line="242" w:lineRule="auto"/>
        <w:tabs>
          <w:tab w:leader="none" w:pos="36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disaster of sufficient severity to prevent the business and affairs of the corporation from being managed and its corporate powers from being exercised by the board of directors in accordance with the foregoing by-laws, whether by reason of multiple deaths or incapacity of directors and officers, destruction of property, failure of communications or other catastrophe, then, notwithstanding any other provision of the by-laws, the following provisions shall apply:</w:t>
      </w:r>
    </w:p>
    <w:p>
      <w:pPr>
        <w:spacing w:after="0" w:line="177" w:lineRule="exact"/>
        <w:rPr>
          <w:sz w:val="20"/>
          <w:szCs w:val="20"/>
          <w:color w:val="auto"/>
        </w:rPr>
      </w:pPr>
    </w:p>
    <w:p>
      <w:pPr>
        <w:ind w:left="-797" w:right="3079" w:firstLine="797"/>
        <w:spacing w:after="0" w:line="242" w:lineRule="auto"/>
        <w:tabs>
          <w:tab w:leader="none" w:pos="3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emergency meeting or meetings of the board of directors or of the surviving members thereof shall be called by the chief executive officer, if available, and otherwise by one or more directors; such meetings to be held at such times and places and upon such notice, if any, as the person or persons calling the meeting shall deem proper. The board may take any action at such meetings which it deems necessary and appropriate to meet the emergency.</w:t>
      </w:r>
    </w:p>
    <w:p>
      <w:pPr>
        <w:spacing w:after="0" w:line="176" w:lineRule="exact"/>
        <w:rPr>
          <w:rFonts w:ascii="Courier New" w:cs="Courier New" w:eastAsia="Courier New" w:hAnsi="Courier New"/>
          <w:sz w:val="15"/>
          <w:szCs w:val="15"/>
          <w:color w:val="auto"/>
        </w:rPr>
      </w:pPr>
    </w:p>
    <w:p>
      <w:pPr>
        <w:jc w:val="both"/>
        <w:ind w:left="-797" w:right="3339" w:firstLine="797"/>
        <w:spacing w:after="0" w:line="267" w:lineRule="auto"/>
        <w:tabs>
          <w:tab w:leader="none" w:pos="45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Vacancies in the board of directors shall be filled as soon as practicable in the manner specified in Article 48 of the by-laws. In filling vacancies consideration shall be given to senior officers of the corporation.</w:t>
      </w:r>
    </w:p>
    <w:p>
      <w:pPr>
        <w:spacing w:after="0" w:line="158" w:lineRule="exact"/>
        <w:rPr>
          <w:rFonts w:ascii="Courier New" w:cs="Courier New" w:eastAsia="Courier New" w:hAnsi="Courier New"/>
          <w:sz w:val="14"/>
          <w:szCs w:val="14"/>
          <w:color w:val="auto"/>
        </w:rPr>
      </w:pPr>
    </w:p>
    <w:p>
      <w:pPr>
        <w:ind w:left="-797" w:right="3159" w:firstLine="797"/>
        <w:spacing w:after="0" w:line="263" w:lineRule="auto"/>
        <w:tabs>
          <w:tab w:leader="none" w:pos="366"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presence of the smallest number of directors permitted by law to constitute a quorum, but not less than three, shall be sufficient for the transaction of business at emergency meetings of the board of directors, except that if there be less than three surviving directors, the surviving director or directors, although less than a quorum, may fill vacancies in the board.</w:t>
      </w:r>
    </w:p>
    <w:p>
      <w:pPr>
        <w:spacing w:after="0" w:line="163" w:lineRule="exact"/>
        <w:rPr>
          <w:rFonts w:ascii="Courier New" w:cs="Courier New" w:eastAsia="Courier New" w:hAnsi="Courier New"/>
          <w:sz w:val="14"/>
          <w:szCs w:val="14"/>
          <w:color w:val="auto"/>
        </w:rPr>
      </w:pPr>
    </w:p>
    <w:p>
      <w:pPr>
        <w:ind w:left="-797" w:right="3079" w:firstLine="797"/>
        <w:spacing w:after="0"/>
        <w:tabs>
          <w:tab w:leader="none" w:pos="3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may be amended by the board of directors without notice of the proposed amendment being given in the notice of the meeting.</w:t>
      </w:r>
    </w:p>
    <w:p>
      <w:pPr>
        <w:spacing w:after="0" w:line="176" w:lineRule="exact"/>
        <w:rPr>
          <w:rFonts w:ascii="Courier New" w:cs="Courier New" w:eastAsia="Courier New" w:hAnsi="Courier New"/>
          <w:sz w:val="15"/>
          <w:szCs w:val="15"/>
          <w:color w:val="auto"/>
        </w:rPr>
      </w:pPr>
    </w:p>
    <w:p>
      <w:pPr>
        <w:ind w:left="-797" w:right="3079" w:firstLine="797"/>
        <w:spacing w:after="0" w:line="242" w:lineRule="auto"/>
        <w:tabs>
          <w:tab w:leader="none" w:pos="3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the foregoing, the board of directors is authorized to make all necessary determinations of fact regarding the extent and severity of the disaster and the availability of members thereof; to designate and replace officers, agents and employees of the corporation and otherwise provide for continuity of management; and to elect a chairman, adopt rules of procedure, and fill vacancies.</w:t>
      </w:r>
    </w:p>
    <w:p>
      <w:pPr>
        <w:spacing w:after="0" w:line="176" w:lineRule="exact"/>
        <w:rPr>
          <w:rFonts w:ascii="Courier New" w:cs="Courier New" w:eastAsia="Courier New" w:hAnsi="Courier New"/>
          <w:sz w:val="15"/>
          <w:szCs w:val="15"/>
          <w:color w:val="auto"/>
        </w:rPr>
      </w:pPr>
    </w:p>
    <w:p>
      <w:pPr>
        <w:ind w:left="-797" w:right="3779" w:firstLine="797"/>
        <w:spacing w:after="0"/>
        <w:tabs>
          <w:tab w:leader="none" w:pos="3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emergency powers provided in this by-law 61 shall be in addition to any powers provided by law.</w:t>
      </w:r>
    </w:p>
    <w:p>
      <w:pPr>
        <w:spacing w:after="0" w:line="346" w:lineRule="exact"/>
        <w:rPr>
          <w:sz w:val="20"/>
          <w:szCs w:val="20"/>
          <w:color w:val="auto"/>
        </w:rPr>
      </w:pPr>
    </w:p>
    <w:p>
      <w:pPr>
        <w:ind w:left="2603"/>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422"/>
          </w:cols>
          <w:pgMar w:left="1037" w:top="633" w:right="1440" w:bottom="1440" w:gutter="0" w:footer="0" w:header="0"/>
        </w:sectPr>
      </w:pPr>
    </w:p>
    <w:bookmarkStart w:id="59" w:name="page60"/>
    <w:bookmarkEnd w:id="59"/>
    <w:p>
      <w:pPr>
        <w:ind w:left="5620"/>
        <w:spacing w:after="0"/>
        <w:tabs>
          <w:tab w:leader="none" w:pos="6420" w:val="left"/>
        </w:tabs>
        <w:rPr>
          <w:sz w:val="20"/>
          <w:szCs w:val="20"/>
          <w:color w:val="auto"/>
        </w:rPr>
      </w:pPr>
      <w:r>
        <w:rPr>
          <w:rFonts w:ascii="Courier New" w:cs="Courier New" w:eastAsia="Courier New" w:hAnsi="Courier New"/>
          <w:sz w:val="15"/>
          <w:szCs w:val="15"/>
          <w:color w:val="auto"/>
        </w:rPr>
        <w:t>EXHIBIT</w:t>
      </w:r>
      <w:r>
        <w:rPr>
          <w:sz w:val="20"/>
          <w:szCs w:val="20"/>
          <w:color w:val="auto"/>
        </w:rPr>
        <w:tab/>
      </w:r>
      <w:r>
        <w:rPr>
          <w:rFonts w:ascii="Courier New" w:cs="Courier New" w:eastAsia="Courier New" w:hAnsi="Courier New"/>
          <w:sz w:val="14"/>
          <w:szCs w:val="14"/>
          <w:color w:val="auto"/>
        </w:rPr>
        <w:t>4-B (c)</w:t>
      </w:r>
    </w:p>
    <w:p>
      <w:pPr>
        <w:spacing w:after="0" w:line="34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[FACE OF NOTE]</w:t>
      </w:r>
    </w:p>
    <w:p>
      <w:pPr>
        <w:spacing w:after="0" w:line="176" w:lineRule="exact"/>
        <w:rPr>
          <w:sz w:val="20"/>
          <w:szCs w:val="20"/>
          <w:color w:val="auto"/>
        </w:rPr>
      </w:pPr>
    </w:p>
    <w:p>
      <w:pPr>
        <w:jc w:val="both"/>
        <w:ind w:right="3519"/>
        <w:spacing w:after="0" w:line="241" w:lineRule="auto"/>
        <w:rPr>
          <w:sz w:val="20"/>
          <w:szCs w:val="20"/>
          <w:color w:val="auto"/>
        </w:rPr>
      </w:pPr>
      <w:r>
        <w:rPr>
          <w:rFonts w:ascii="Courier New" w:cs="Courier New" w:eastAsia="Courier New" w:hAnsi="Courier New"/>
          <w:sz w:val="15"/>
          <w:szCs w:val="15"/>
          <w:color w:val="auto"/>
        </w:rPr>
        <w:t>IF THE REGISTERED OWNER OF THIS NOTE (AS INDICATED BELOW) IS THE DEPOSITORY TRUST COMPANY OR A NOMINEE OF THE DEPOSITORY TRUST COMPANY, THIS NOTE IS A GLOBAL NOTE AND THE FOLLOWING LEGENDS APPLY:</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UNLESS THIS NOTE IS PRESENTED BY AN AUTHORIZED REPRESENTATIVE OF THE DEPOSITORY TRUST COMPANY (THE "DEPOSITARY") (55 WATER STREET, NEW YORK, NEW YORK) TO THE ISSUER HEREOF OR ITS AGENT FOR REGISTRATION OF TRANSFER, EXCHANGE OR PAYMENT, AND ANY NOTE ISSUED IS REGISTERED IN THE NAME OF CEDE &amp; CO. OR SUCH OTHER NAME AS REQUESTED BY AN AUTHORIZED REPRESENTATIVE OF THE DEPOSITARY AND ANY PAYMENT IS MADE TO CEDE &amp; CO., ANY TRANSFER, PLEDGE OR OTHER USE HEREOF FOR VALUE OR OTHERWISE BY OR TO ANY PERSON IS WRONGFUL SINCE THE REGISTERED OWNER HEREOF, CEDE &amp; CO., HAS AN INTEREST HEREIN.</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REGISTERED</w:t>
            </w:r>
          </w:p>
        </w:tc>
        <w:tc>
          <w:tcPr>
            <w:tcW w:w="27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CUSIP No:194 16 QCU2</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PRINCIPAL</w:t>
            </w:r>
          </w:p>
        </w:tc>
        <w:tc>
          <w:tcPr>
            <w:tcW w:w="460" w:type="dxa"/>
            <w:vAlign w:val="bottom"/>
          </w:tcPr>
          <w:p>
            <w:pPr>
              <w:spacing w:after="0"/>
              <w:rPr>
                <w:sz w:val="14"/>
                <w:szCs w:val="14"/>
                <w:color w:val="auto"/>
              </w:rPr>
            </w:pPr>
          </w:p>
        </w:tc>
      </w:tr>
      <w:tr>
        <w:trPr>
          <w:trHeight w:val="172"/>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No. FXR-</w:t>
            </w: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460" w:type="dxa"/>
            <w:vAlign w:val="bottom"/>
          </w:tcPr>
          <w:p>
            <w:pPr>
              <w:spacing w:after="0"/>
              <w:rPr>
                <w:sz w:val="14"/>
                <w:szCs w:val="14"/>
                <w:color w:val="auto"/>
              </w:rPr>
            </w:pPr>
          </w:p>
        </w:tc>
      </w:tr>
      <w:tr>
        <w:trPr>
          <w:trHeight w:val="172"/>
        </w:trPr>
        <w:tc>
          <w:tcPr>
            <w:tcW w:w="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$100,000,000</w:t>
            </w:r>
          </w:p>
        </w:tc>
        <w:tc>
          <w:tcPr>
            <w:tcW w:w="460" w:type="dxa"/>
            <w:vAlign w:val="bottom"/>
          </w:tcPr>
          <w:p>
            <w:pPr>
              <w:spacing w:after="0"/>
              <w:rPr>
                <w:sz w:val="14"/>
                <w:szCs w:val="14"/>
                <w:color w:val="auto"/>
              </w:rPr>
            </w:pPr>
          </w:p>
        </w:tc>
      </w:tr>
      <w:tr>
        <w:trPr>
          <w:trHeight w:val="344"/>
        </w:trPr>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COLGATE-PALMOLIVE COMPANY</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2"/>
        </w:trPr>
        <w:tc>
          <w:tcPr>
            <w:tcW w:w="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7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MEDIUM-TERM NOTE, SERIES D</w:t>
            </w: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2"/>
        </w:trPr>
        <w:tc>
          <w:tcPr>
            <w:tcW w:w="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70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(Indexed Note)</w:t>
            </w: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44"/>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ORIGINAL ISSUE DATE:</w:t>
            </w:r>
          </w:p>
        </w:tc>
        <w:tc>
          <w:tcPr>
            <w:tcW w:w="1580" w:type="dxa"/>
            <w:vAlign w:val="bottom"/>
          </w:tcPr>
          <w:p>
            <w:pPr>
              <w:ind w:left="280"/>
              <w:spacing w:after="0"/>
              <w:rPr>
                <w:sz w:val="20"/>
                <w:szCs w:val="20"/>
                <w:color w:val="auto"/>
              </w:rPr>
            </w:pPr>
            <w:r>
              <w:rPr>
                <w:rFonts w:ascii="Courier New" w:cs="Courier New" w:eastAsia="Courier New" w:hAnsi="Courier New"/>
                <w:sz w:val="15"/>
                <w:szCs w:val="15"/>
                <w:color w:val="auto"/>
              </w:rPr>
              <w:t>INTEREST RATE:</w:t>
            </w:r>
          </w:p>
        </w:tc>
        <w:tc>
          <w:tcPr>
            <w:tcW w:w="11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N/A</w:t>
            </w:r>
          </w:p>
        </w:tc>
        <w:tc>
          <w:tcPr>
            <w:tcW w:w="1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STATED MATURITY</w:t>
            </w:r>
          </w:p>
        </w:tc>
      </w:tr>
      <w:tr>
        <w:trPr>
          <w:trHeight w:val="172"/>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November 21, 2000</w:t>
            </w: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DATE: November 21,</w:t>
            </w:r>
          </w:p>
        </w:tc>
      </w:tr>
      <w:tr>
        <w:trPr>
          <w:trHeight w:val="172"/>
        </w:trPr>
        <w:tc>
          <w:tcPr>
            <w:tcW w:w="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spacing w:after="0"/>
              <w:rPr>
                <w:sz w:val="14"/>
                <w:szCs w:val="14"/>
                <w:color w:val="auto"/>
              </w:rPr>
            </w:pPr>
          </w:p>
        </w:tc>
      </w:tr>
      <w:tr>
        <w:trPr>
          <w:trHeight w:val="516"/>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INTEREST PAYMENT DATE(S)</w:t>
            </w:r>
          </w:p>
        </w:tc>
        <w:tc>
          <w:tcPr>
            <w:tcW w:w="27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 ] CHECK IF DISCOUNT NOTE</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rPr>
              <w:t>N/A and N/A</w:t>
            </w:r>
          </w:p>
        </w:tc>
        <w:tc>
          <w:tcPr>
            <w:tcW w:w="1580" w:type="dxa"/>
            <w:vAlign w:val="bottom"/>
          </w:tcPr>
          <w:p>
            <w:pPr>
              <w:ind w:left="280"/>
              <w:spacing w:after="0"/>
              <w:rPr>
                <w:sz w:val="20"/>
                <w:szCs w:val="20"/>
                <w:color w:val="auto"/>
              </w:rPr>
            </w:pPr>
            <w:r>
              <w:rPr>
                <w:rFonts w:ascii="Courier New" w:cs="Courier New" w:eastAsia="Courier New" w:hAnsi="Courier New"/>
                <w:sz w:val="15"/>
                <w:szCs w:val="15"/>
                <w:color w:val="auto"/>
              </w:rPr>
              <w:t>Issue Price: %</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2"/>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 ] Other:</w:t>
            </w: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44"/>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INITIAL REDEMPTION</w:t>
            </w:r>
          </w:p>
        </w:tc>
        <w:tc>
          <w:tcPr>
            <w:tcW w:w="27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INITIAL REDEMPTION</w:t>
            </w:r>
          </w:p>
        </w:tc>
        <w:tc>
          <w:tcPr>
            <w:tcW w:w="1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ANNUAL REDEMPTION</w:t>
            </w:r>
          </w:p>
        </w:tc>
      </w:tr>
      <w:tr>
        <w:trPr>
          <w:trHeight w:val="344"/>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DATE: N/A</w:t>
            </w:r>
          </w:p>
        </w:tc>
        <w:tc>
          <w:tcPr>
            <w:tcW w:w="1580" w:type="dxa"/>
            <w:vAlign w:val="bottom"/>
          </w:tcPr>
          <w:p>
            <w:pPr>
              <w:ind w:left="280"/>
              <w:spacing w:after="0"/>
              <w:rPr>
                <w:sz w:val="20"/>
                <w:szCs w:val="20"/>
                <w:color w:val="auto"/>
              </w:rPr>
            </w:pPr>
            <w:r>
              <w:rPr>
                <w:rFonts w:ascii="Courier New" w:cs="Courier New" w:eastAsia="Courier New" w:hAnsi="Courier New"/>
                <w:sz w:val="15"/>
                <w:szCs w:val="15"/>
                <w:color w:val="auto"/>
              </w:rPr>
              <w:t>PERCENTAGE:</w:t>
            </w:r>
          </w:p>
        </w:tc>
        <w:tc>
          <w:tcPr>
            <w:tcW w:w="11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PERCENTAGE</w:t>
            </w:r>
          </w:p>
        </w:tc>
        <w:tc>
          <w:tcPr>
            <w:tcW w:w="460" w:type="dxa"/>
            <w:vAlign w:val="bottom"/>
          </w:tcPr>
          <w:p>
            <w:pPr>
              <w:spacing w:after="0"/>
              <w:rPr>
                <w:sz w:val="24"/>
                <w:szCs w:val="24"/>
                <w:color w:val="auto"/>
              </w:rPr>
            </w:pPr>
          </w:p>
        </w:tc>
      </w:tr>
      <w:tr>
        <w:trPr>
          <w:trHeight w:val="172"/>
        </w:trPr>
        <w:tc>
          <w:tcPr>
            <w:tcW w:w="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REDUCTION:</w:t>
            </w:r>
          </w:p>
        </w:tc>
        <w:tc>
          <w:tcPr>
            <w:tcW w:w="4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w:t>
            </w:r>
          </w:p>
        </w:tc>
      </w:tr>
      <w:tr>
        <w:trPr>
          <w:trHeight w:val="344"/>
        </w:trPr>
        <w:tc>
          <w:tcPr>
            <w:tcW w:w="3800" w:type="dxa"/>
            <w:vAlign w:val="bottom"/>
            <w:gridSpan w:val="3"/>
          </w:tcPr>
          <w:p>
            <w:pPr>
              <w:spacing w:after="0"/>
              <w:rPr>
                <w:sz w:val="20"/>
                <w:szCs w:val="20"/>
                <w:color w:val="auto"/>
              </w:rPr>
            </w:pPr>
            <w:r>
              <w:rPr>
                <w:rFonts w:ascii="Courier New" w:cs="Courier New" w:eastAsia="Courier New" w:hAnsi="Courier New"/>
                <w:sz w:val="15"/>
                <w:szCs w:val="15"/>
                <w:color w:val="auto"/>
              </w:rPr>
              <w:t>HOLDER'S OPTIONAL REPAYMENT</w:t>
            </w: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2"/>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DATE(S): N/A</w:t>
            </w: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516"/>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AUTHORIZED DENOMINATION:</w:t>
            </w:r>
          </w:p>
        </w:tc>
        <w:tc>
          <w:tcPr>
            <w:tcW w:w="27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SPECIFIED CURRENCY: U.S.</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2"/>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 ] $1,000 and integral</w:t>
            </w:r>
          </w:p>
        </w:tc>
        <w:tc>
          <w:tcPr>
            <w:tcW w:w="1580" w:type="dxa"/>
            <w:vAlign w:val="bottom"/>
          </w:tcPr>
          <w:p>
            <w:pPr>
              <w:ind w:left="280"/>
              <w:spacing w:after="0"/>
              <w:rPr>
                <w:sz w:val="20"/>
                <w:szCs w:val="20"/>
                <w:color w:val="auto"/>
              </w:rPr>
            </w:pPr>
            <w:r>
              <w:rPr>
                <w:rFonts w:ascii="Courier New" w:cs="Courier New" w:eastAsia="Courier New" w:hAnsi="Courier New"/>
                <w:sz w:val="15"/>
                <w:szCs w:val="15"/>
                <w:color w:val="auto"/>
              </w:rPr>
              <w:t>Dollars</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2"/>
        </w:trPr>
        <w:tc>
          <w:tcPr>
            <w:tcW w:w="30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multiples thereof</w:t>
            </w: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ectPr>
          <w:pgSz w:w="11900" w:h="16838" w:orient="portrait"/>
          <w:cols w:equalWidth="0" w:num="1">
            <w:col w:w="10219"/>
          </w:cols>
          <w:pgMar w:left="240" w:top="484" w:right="1440" w:bottom="1440" w:gutter="0" w:footer="0" w:header="0"/>
        </w:sectPr>
      </w:pPr>
    </w:p>
    <w:bookmarkStart w:id="60" w:name="page61"/>
    <w:bookmarkEnd w:id="60"/>
    <w:p>
      <w:pPr>
        <w:ind w:left="8" w:right="7639" w:hanging="8"/>
        <w:spacing w:after="0" w:line="241" w:lineRule="auto"/>
        <w:tabs>
          <w:tab w:leader="none" w:pos="36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$100,000 and integral multiples of $10,000 in excess thereof</w:t>
      </w:r>
    </w:p>
    <w:p>
      <w:pPr>
        <w:sectPr>
          <w:pgSz w:w="11900" w:h="16838" w:orient="portrait"/>
          <w:cols w:equalWidth="0" w:num="1">
            <w:col w:w="10227"/>
          </w:cols>
          <w:pgMar w:left="232" w:top="635"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ADDENDUM ATTACHED</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Yes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[X] No</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 ADDITIONAL PROVISIONS: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372" w:lineRule="exact"/>
        <w:rPr>
          <w:sz w:val="20"/>
          <w:szCs w:val="20"/>
          <w:color w:val="auto"/>
        </w:rPr>
      </w:pPr>
    </w:p>
    <w:p>
      <w:pPr>
        <w:sectPr>
          <w:pgSz w:w="11900" w:h="16838" w:orient="portrait"/>
          <w:cols w:equalWidth="0" w:num="2">
            <w:col w:w="1788" w:space="720"/>
            <w:col w:w="7719"/>
          </w:cols>
          <w:pgMar w:left="232" w:top="635" w:right="1440" w:bottom="1440" w:gutter="0" w:footer="0" w:header="0"/>
          <w:type w:val="continuous"/>
        </w:sectPr>
      </w:pPr>
    </w:p>
    <w:p>
      <w:pPr>
        <w:spacing w:after="0" w:line="320" w:lineRule="exact"/>
        <w:rPr>
          <w:sz w:val="20"/>
          <w:szCs w:val="20"/>
          <w:color w:val="auto"/>
        </w:rPr>
      </w:pPr>
    </w:p>
    <w:p>
      <w:pPr>
        <w:ind w:left="3488"/>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27"/>
          </w:cols>
          <w:pgMar w:left="232" w:top="635" w:right="1440" w:bottom="1440" w:gutter="0" w:footer="0" w:header="0"/>
          <w:type w:val="continuous"/>
        </w:sectPr>
      </w:pPr>
    </w:p>
    <w:bookmarkStart w:id="61" w:name="page62"/>
    <w:bookmarkEnd w:id="61"/>
    <w:p>
      <w:pPr>
        <w:ind w:right="3079" w:firstLine="805"/>
        <w:spacing w:after="0" w:line="242" w:lineRule="auto"/>
        <w:rPr>
          <w:sz w:val="20"/>
          <w:szCs w:val="20"/>
          <w:color w:val="auto"/>
        </w:rPr>
      </w:pPr>
      <w:r>
        <w:rPr>
          <w:rFonts w:ascii="Courier New" w:cs="Courier New" w:eastAsia="Courier New" w:hAnsi="Courier New"/>
          <w:sz w:val="15"/>
          <w:szCs w:val="15"/>
          <w:color w:val="auto"/>
        </w:rPr>
        <w:t>Colgate-Palmolive Company, a Delaware corporation (the "Company", which term includes any successor corporation under the Indenture hereinafter referred to), for value received, hereby promises to pay to CEDE &amp; CO., or registered assigns, on the Stated Maturity Date specified above (or any earlier date of acceleration of maturity) (each such date being hereinafter referred to as the "Maturity Date" with respect to the principal repayable on such date) the Indexed Principal Amount calculated by the Determination Agent (as defined below) in accordance with the formula set forth below (the "Indexed Principal Amount") and to pay interest on any overdue Indexed Principal Amount (to the extent legally enforceable) at the interest rate per annum specified below, until the Indexed Principal Amount is paid or duly made available for payment.</w:t>
      </w:r>
    </w:p>
    <w:p>
      <w:pPr>
        <w:spacing w:after="0" w:line="179" w:lineRule="exact"/>
        <w:rPr>
          <w:sz w:val="20"/>
          <w:szCs w:val="20"/>
          <w:color w:val="auto"/>
        </w:rPr>
      </w:pPr>
    </w:p>
    <w:p>
      <w:pPr>
        <w:ind w:right="3079" w:firstLine="805"/>
        <w:spacing w:after="0" w:line="267" w:lineRule="auto"/>
        <w:rPr>
          <w:sz w:val="20"/>
          <w:szCs w:val="20"/>
          <w:color w:val="auto"/>
        </w:rPr>
      </w:pPr>
      <w:r>
        <w:rPr>
          <w:rFonts w:ascii="Courier New" w:cs="Courier New" w:eastAsia="Courier New" w:hAnsi="Courier New"/>
          <w:sz w:val="14"/>
          <w:szCs w:val="14"/>
          <w:color w:val="auto"/>
        </w:rPr>
        <w:t>The Indexed Principal Amount payable in respect of this Note on the Maturity Date will be determined by Goldman, Sachs &amp; Co., or its duly appointed successor (the "Determination Agent"), in accordance with the following formula:</w:t>
      </w:r>
    </w:p>
    <w:p>
      <w:pPr>
        <w:spacing w:after="0" w:line="157"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IPA=FA[0.9500+2.30[USD/EUR End Rate-0.8850]</w:t>
      </w:r>
    </w:p>
    <w:p>
      <w:pPr>
        <w:spacing w:after="0" w:line="2" w:lineRule="exact"/>
        <w:rPr>
          <w:sz w:val="20"/>
          <w:szCs w:val="20"/>
          <w:color w:val="auto"/>
        </w:rPr>
      </w:pPr>
    </w:p>
    <w:p>
      <w:pPr>
        <w:ind w:left="3220" w:hanging="1082"/>
        <w:spacing w:after="0"/>
        <w:tabs>
          <w:tab w:leader="none" w:pos="32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140"/>
        <w:spacing w:after="0"/>
        <w:tabs>
          <w:tab w:leader="none" w:pos="3200" w:val="left"/>
          <w:tab w:leader="none" w:pos="4000" w:val="left"/>
          <w:tab w:leader="none" w:pos="5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0.8850</w:t>
      </w:r>
      <w:r>
        <w:rPr>
          <w:sz w:val="20"/>
          <w:szCs w:val="20"/>
          <w:color w:val="auto"/>
        </w:rPr>
        <w:tab/>
      </w:r>
      <w:r>
        <w:rPr>
          <w:rFonts w:ascii="Courier New" w:cs="Courier New" w:eastAsia="Courier New" w:hAnsi="Courier New"/>
          <w:sz w:val="13"/>
          <w:szCs w:val="13"/>
          <w:color w:val="auto"/>
        </w:rPr>
        <w: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where "IPA" refers to the Indexed Principal Amount; "FA" refers to the Face Amount of this Note and "USD/EUR End Rate" refers to the average of the daily Federal Reserve Bank of New York fixing rates for the U.S. Dollar per Euro for the five consecutive business days up to and including November 16, 2001, or if such day is not a Business Day, the immediately preceding day which is a Business Day (the "Determination Date"). The Federal Reserve fixing rate is posted daily at approximately 10:00 a.m. New York City time on Reuters Page 1 FED under the caption "10 A.M. Midpoints". If the Federal Reserve fixing rate is not available on any of the five Business Days prior to and including the Determination Date, the Determination Agent will determine the fixing rate for that date for the purpose of calculating the USD/EUR End Rate and the Indexed Principal Amount in a commercially reasonable manner. The payment in respect of the Indexed Principal Amount will in no event be less than 95.000% of the Face Amount or greater than 132.864% of the Face Amount. In calculating the USD/EUR End Rate and the Indexed Principal Amount, the Determination Agent will round to the nearest one-thousandth of a percentage point, with five ten-thousandth of a percentage point rounded upwards (e.g., 79.9995%) (or 0.799995) would be rounded to 80.000% (or 0.80000), and all dollar amounts used in or resulting from any calculation in respect of the Notes will be rounded to the nearest cent (with one-half cent being rounded upward).</w:t>
      </w:r>
    </w:p>
    <w:p>
      <w:pPr>
        <w:spacing w:after="0" w:line="18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Payment of the Indexed Principal Amount due on the Maturity Date will be made in immediately available funds upon presentation and surrender of this Note at the office of the Trustee maintained for that purpose in the Borough of Manhattan, The City of New York, New York in such coin or currency of the United States of America as at the time of payment is legal tender for payment of public and private debts.</w:t>
      </w:r>
    </w:p>
    <w:p>
      <w:pPr>
        <w:spacing w:after="0" w:line="176" w:lineRule="exact"/>
        <w:rPr>
          <w:sz w:val="20"/>
          <w:szCs w:val="20"/>
          <w:color w:val="auto"/>
        </w:rPr>
      </w:pPr>
    </w:p>
    <w:p>
      <w:pPr>
        <w:ind w:right="3439" w:firstLine="805"/>
        <w:spacing w:after="0" w:line="242" w:lineRule="auto"/>
        <w:rPr>
          <w:sz w:val="20"/>
          <w:szCs w:val="20"/>
          <w:color w:val="auto"/>
        </w:rPr>
      </w:pPr>
      <w:r>
        <w:rPr>
          <w:rFonts w:ascii="Courier New" w:cs="Courier New" w:eastAsia="Courier New" w:hAnsi="Courier New"/>
          <w:sz w:val="15"/>
          <w:szCs w:val="15"/>
          <w:color w:val="auto"/>
        </w:rPr>
        <w:t>If any Maturity Date falls on a day that is not a Business Day, the required payment of the Indexed Principal Amount shall be made on the next succeeding Business Day with the same force and effect as if made on such Maturity Date, and no interest shall accrue with respect to</w:t>
      </w:r>
    </w:p>
    <w:p>
      <w:pPr>
        <w:sectPr>
          <w:pgSz w:w="11900" w:h="16838" w:orient="portrait"/>
          <w:cols w:equalWidth="0" w:num="1">
            <w:col w:w="10219"/>
          </w:cols>
          <w:pgMar w:left="240" w:top="635" w:right="1440" w:bottom="1440" w:gutter="0" w:footer="0" w:header="0"/>
        </w:sectPr>
      </w:pPr>
    </w:p>
    <w:bookmarkStart w:id="62" w:name="page63"/>
    <w:bookmarkEnd w:id="62"/>
    <w:p>
      <w:pPr>
        <w:ind w:right="3339"/>
        <w:spacing w:after="0"/>
        <w:rPr>
          <w:sz w:val="20"/>
          <w:szCs w:val="20"/>
          <w:color w:val="auto"/>
        </w:rPr>
      </w:pPr>
      <w:r>
        <w:rPr>
          <w:rFonts w:ascii="Courier New" w:cs="Courier New" w:eastAsia="Courier New" w:hAnsi="Courier New"/>
          <w:sz w:val="15"/>
          <w:szCs w:val="15"/>
          <w:color w:val="auto"/>
        </w:rPr>
        <w:t>such payment for the period from and after such Maturity Date, to the date of such payment on the next succeeding Business Day.</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As used herein, "Business Day" means, unless otherwise specified above, any day, other than a Saturday or Sunday, that is neither a legal holiday nor a day on which commercial banks are authorized or required by law, regulation or executive order to close in New York City, Frankfurt and London.</w:t>
      </w:r>
    </w:p>
    <w:p>
      <w:pPr>
        <w:spacing w:after="0" w:line="175"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Any overdue payment in respect of the Indexed Principal Amount of this Note on the Maturity Date shall bear interest until the date upon which all sums due in respect of this Note are received by or on behalf of the relevant holder, at the rate per annum which is the rate for deposits in U.S. Dollars for a period of six months which appears on the Reuters Screen LIBO Page as of 11:00 a.m., London time, on the first Business Day following the failure to pay. The applicable rate shall be determined by the Determination Agent. If interest is required to be calculated for a period of less than one year, it shall be calculated on the basis of a 360-day year consisting of 12 months of 30 days each, and, in the case of an incomplete month, the number of days elapsed.</w:t>
      </w:r>
    </w:p>
    <w:p>
      <w:pPr>
        <w:spacing w:after="0" w:line="167"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Reference is hereby made to the further provisions of this Note set forth on the reverse hereof, which further provisions shall have the same force and effect as if set forth on the face hereof.</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Unless the Certificate of Authentication hereon has been executed by the Trustee by manual signature of one of its authorized officers, this Note shall not be entitled to any benefit under the Indenture or be valid or obligatory for any purpose.</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63" w:name="page64"/>
    <w:bookmarkEnd w:id="63"/>
    <w:p>
      <w:pPr>
        <w:ind w:right="3259" w:firstLine="805"/>
        <w:spacing w:after="0"/>
        <w:rPr>
          <w:sz w:val="20"/>
          <w:szCs w:val="20"/>
          <w:color w:val="auto"/>
        </w:rPr>
      </w:pPr>
      <w:r>
        <w:rPr>
          <w:rFonts w:ascii="Courier New" w:cs="Courier New" w:eastAsia="Courier New" w:hAnsi="Courier New"/>
          <w:sz w:val="15"/>
          <w:szCs w:val="15"/>
          <w:color w:val="auto"/>
        </w:rPr>
        <w:t>IN WITNESS WHEREOF, Colgate-Palmolive Company has caused this Note to be duly executed by one of its duly authorized officers.</w:t>
      </w:r>
    </w:p>
    <w:p>
      <w:pPr>
        <w:spacing w:after="0" w:line="34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5"/>
          <w:szCs w:val="15"/>
          <w:color w:val="auto"/>
        </w:rPr>
        <w:t>COLGATE-PALMOLIVE COMPANY</w:t>
      </w:r>
    </w:p>
    <w:p>
      <w:pPr>
        <w:spacing w:after="0" w:line="348"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By: ________________________________</w:t>
      </w:r>
    </w:p>
    <w:p>
      <w:pPr>
        <w:spacing w:after="0" w:line="1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one of the Debt Securities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series designated therein referred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in the within-mentioned Indenture.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Trustee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By____________________________</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Authorized Signatory</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64" w:name="page65"/>
    <w:bookmarkEnd w:id="64"/>
    <w:p>
      <w:pPr>
        <w:jc w:val="center"/>
        <w:ind w:right="3159"/>
        <w:spacing w:after="0"/>
        <w:rPr>
          <w:sz w:val="20"/>
          <w:szCs w:val="20"/>
          <w:color w:val="auto"/>
        </w:rPr>
      </w:pPr>
      <w:r>
        <w:rPr>
          <w:rFonts w:ascii="Courier New" w:cs="Courier New" w:eastAsia="Courier New" w:hAnsi="Courier New"/>
          <w:sz w:val="15"/>
          <w:szCs w:val="15"/>
          <w:color w:val="auto"/>
        </w:rPr>
        <w:t>[REVERSE OF NOTE]</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COLGATE-PALMOLIVE COMPANY</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MEDIUM-TERM NOTE, SERIES D</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(Fixed Rate)</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This Note is one of a duly authorized series of Debt Securities (the "Debt Securities") of the Company issued and to be issued under a Senior Indenture, dated as of November 15, 1992, as amended, modified or supplemented from time to time (the "Indenture"), between the Company and The Bank of New York, as trustee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Debt Securities, and of the terms upon which the Debt Securities are, and are to be, authenticated and delivered. This Note is one of the series of Debt Securities designated as "Medium-Term Notes, Series D, Due One Year or More From Date of Issue" (the "Notes"). All terms used but not defined in this Note or in an Addendum hereto shall have the meanings assigned to such terms in the Indenture or on the face hereof, as the case may be.</w:t>
      </w:r>
    </w:p>
    <w:p>
      <w:pPr>
        <w:spacing w:after="0" w:line="16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Except as otherwise provided in the Indenture and as set forth below, the Notes will be issued in global form only, registered in the name of the Depositary or its nominee and ownership of the Notes shall be maintained in book-entry form by the Depositary for the accounts of participating organizations of the Depositary. If this Note is a global Note, this Note is exchangeable only if (i) the Depositary notifies the Company that it is unwilling or unable to continue as Depositary for this global Note and a successor depositary is not appointed by the Company within 60 days after the Depositary notifies the Company, (ii) the Company in its sole discretion determines that this global Note shall be exchangeable for certificated Notes of this series in registered form or (iii) an Event of Default with respect to the Notes represented hereby has occurred and is continuing.</w:t>
      </w:r>
    </w:p>
    <w:p>
      <w:pPr>
        <w:spacing w:after="0" w:line="180" w:lineRule="exact"/>
        <w:rPr>
          <w:sz w:val="20"/>
          <w:szCs w:val="20"/>
          <w:color w:val="auto"/>
        </w:rPr>
      </w:pPr>
    </w:p>
    <w:p>
      <w:pPr>
        <w:ind w:right="3599" w:firstLine="805"/>
        <w:spacing w:after="0"/>
        <w:rPr>
          <w:sz w:val="20"/>
          <w:szCs w:val="20"/>
          <w:color w:val="auto"/>
        </w:rPr>
      </w:pPr>
      <w:r>
        <w:rPr>
          <w:rFonts w:ascii="Courier New" w:cs="Courier New" w:eastAsia="Courier New" w:hAnsi="Courier New"/>
          <w:sz w:val="15"/>
          <w:szCs w:val="15"/>
          <w:color w:val="auto"/>
        </w:rPr>
        <w:t>This Note will not be subject to any sinking fund and will not be redeemable or repayable prior to the Stated Maturity Date.</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If an Event of Default shall occur and be continuing, the Indexed Principal Amount may be accelerated in the manner and with the effect provided herein and in the Indenture. Any declaration of acceleration of this Note must specify an acceleration date that in no case shall be less than 20 Business Days subsequent to the date of any such declaration of acceleration. Upon acceleration prior to the Stated Maturity Date, the Indexed Principal Amount payable in respect of this Notes will be an amount determined by the Determination Agent based on the USD/EUR End Rate at the time of acceleration and the period of time remaining to the Stated Maturity Date, which would have the effect of preserving for the holder of this Note the economic equivalent on the acceleration date of the Company's obligation to make the payment of the Indexed Principal Amount which, absent the acceleration of this Note, would have been payable on the Stated Maturity Date.</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3" w:right="1440" w:bottom="1440" w:gutter="0" w:footer="0" w:header="0"/>
        </w:sectPr>
      </w:pPr>
    </w:p>
    <w:bookmarkStart w:id="65" w:name="page66"/>
    <w:bookmarkEnd w:id="65"/>
    <w:p>
      <w:pPr>
        <w:ind w:right="3079" w:firstLine="805"/>
        <w:spacing w:after="0" w:line="242"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any series of Debt Securities to be adversely affected thereby at any time by the Company and the Trustee with the consent of the Holders of a majority in aggregate principal amount of each series of Debt Securities at the time outstanding, adversely affected thereby. The Indenture also contains provisions permitting the Holders of specified percentages in aggregate principal amount of the outstanding Debt Securities of each series, on behalf of the Holders of Debt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83" w:lineRule="exact"/>
        <w:rPr>
          <w:sz w:val="20"/>
          <w:szCs w:val="20"/>
          <w:color w:val="auto"/>
        </w:rPr>
      </w:pPr>
    </w:p>
    <w:p>
      <w:pPr>
        <w:jc w:val="both"/>
        <w:ind w:right="3259" w:firstLine="805"/>
        <w:spacing w:after="0" w:line="242" w:lineRule="auto"/>
        <w:rPr>
          <w:sz w:val="20"/>
          <w:szCs w:val="20"/>
          <w:color w:val="auto"/>
        </w:rPr>
      </w:pPr>
      <w:r>
        <w:rPr>
          <w:rFonts w:ascii="Courier New" w:cs="Courier New" w:eastAsia="Courier New" w:hAnsi="Courier New"/>
          <w:sz w:val="15"/>
          <w:szCs w:val="15"/>
          <w:color w:val="auto"/>
        </w:rPr>
        <w:t>No reference herein to the Indenture and no provision of this Note or of the Indenture shall alter or impair the obligation of the Company, which is absolute and unconditional, to pay principal, premium, if any, and interest in respect of this Note at the times, places and rate or formula, and in the coin or currency, herein prescribed.</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As provided in the Indenture and subject to certain limitations therein set forth, the transfer of this Note may be registered on the Security Register of the Company upon surrender of this Note for registration of transfer at the office or agency of the Company in the Borough of Manhattan, The City of New York,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with the same terms and provisions, will be issued by the Company to the designated transferee or transferees.</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Notes are issuable only in registered form without coupons and only in denominations of U.S.$100,000 and any integral multiple of U.S. $10,000 in excess thereof. As provided in the Indenture and subject to certain limitations therein set forth, Notes of this series are exchangeable for a like aggregate principal amount of Notes of this series of a different authorized denomination, as required by the Holder surrendering the same.</w:t>
      </w:r>
    </w:p>
    <w:p>
      <w:pPr>
        <w:spacing w:after="0" w:line="176" w:lineRule="exact"/>
        <w:rPr>
          <w:sz w:val="20"/>
          <w:szCs w:val="20"/>
          <w:color w:val="auto"/>
        </w:rPr>
      </w:pPr>
    </w:p>
    <w:p>
      <w:pPr>
        <w:ind w:right="3259" w:firstLine="805"/>
        <w:spacing w:after="0" w:line="267" w:lineRule="auto"/>
        <w:rPr>
          <w:sz w:val="20"/>
          <w:szCs w:val="20"/>
          <w:color w:val="auto"/>
        </w:rPr>
      </w:pPr>
      <w:r>
        <w:rPr>
          <w:rFonts w:ascii="Courier New" w:cs="Courier New" w:eastAsia="Courier New" w:hAnsi="Courier New"/>
          <w:sz w:val="14"/>
          <w:szCs w:val="14"/>
          <w:color w:val="auto"/>
        </w:rPr>
        <w:t>No service charge shall be made for any such registration of transfer or exchange, but the Company may require payment of a sum sufficient to cover any tax or other governmental charge payable in connection therewith.</w:t>
      </w:r>
    </w:p>
    <w:p>
      <w:pPr>
        <w:spacing w:after="0" w:line="15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Prior to due presentment of this Note for registration of transfer, the Company, the Trustee and any agent of the Company or the Trustee may treat the Holder as the owner hereof for all purposes, whether or not this Note be overdue, and neither the Company, the Trustee nor any such agent shall be affected by notice to the contrary, except as required by law.</w:t>
      </w:r>
    </w:p>
    <w:p>
      <w:pPr>
        <w:spacing w:after="0" w:line="175"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THE INDENTURE AND THIS NOTE SHALL BE GOVERNED BY, AND CONSTRUED IN ACCORDANCE WITH, THE LAWS OF THE STATE OF NEW YORK WITHOUT REGARD TO CONFLICT OF LAW PRINCIPLES.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66" w:name="page67"/>
    <w:bookmarkEnd w:id="66"/>
    <w:p>
      <w:pPr>
        <w:ind w:right="3259" w:firstLine="805"/>
        <w:spacing w:after="0"/>
        <w:rPr>
          <w:sz w:val="20"/>
          <w:szCs w:val="20"/>
          <w:color w:val="auto"/>
        </w:rPr>
      </w:pPr>
      <w:r>
        <w:rPr>
          <w:rFonts w:ascii="Courier New" w:cs="Courier New" w:eastAsia="Courier New" w:hAnsi="Courier New"/>
          <w:sz w:val="15"/>
          <w:szCs w:val="15"/>
          <w:color w:val="auto"/>
        </w:rPr>
        <w:t>Capitalized terms used herein without definition which are defined in the Indenture shall have the meanings assigned to them in the Indenture.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67" w:name="page68"/>
    <w:bookmarkEnd w:id="67"/>
    <w:p>
      <w:pPr>
        <w:ind w:left="2940"/>
        <w:spacing w:after="0"/>
        <w:rPr>
          <w:sz w:val="20"/>
          <w:szCs w:val="20"/>
          <w:color w:val="auto"/>
        </w:rPr>
      </w:pPr>
      <w:r>
        <w:rPr>
          <w:rFonts w:ascii="Courier New" w:cs="Courier New" w:eastAsia="Courier New" w:hAnsi="Courier New"/>
          <w:sz w:val="15"/>
          <w:szCs w:val="15"/>
          <w:color w:val="auto"/>
        </w:rPr>
        <w:t>ABBREVIATIONS</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The following abbreviations, when used in the inscription on the face of this Note, shall be construed as though they were written out in full according to applicable laws or regulations:</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 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as tenants in 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UNIF GIFT MIN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Custodian</w:t>
      </w:r>
    </w:p>
    <w:p>
      <w:pPr>
        <w:spacing w:after="0" w:line="183" w:lineRule="exact"/>
        <w:rPr>
          <w:sz w:val="20"/>
          <w:szCs w:val="20"/>
          <w:color w:val="auto"/>
        </w:rPr>
      </w:pPr>
    </w:p>
    <w:p>
      <w:pPr>
        <w:sectPr>
          <w:pgSz w:w="11900" w:h="16838" w:orient="portrait"/>
          <w:cols w:equalWidth="0" w:num="4">
            <w:col w:w="880" w:space="720"/>
            <w:col w:w="2680" w:space="720"/>
            <w:col w:w="1240" w:space="720"/>
            <w:col w:w="3259"/>
          </w:cols>
          <w:pgMar w:left="240" w:top="633" w:right="1440"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 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JT TEN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as tenants by the entireties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as joint tenants with right of</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survivorship and not as tenants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Uniform Gifts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Minors Act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(Minor)</w:t>
      </w:r>
    </w:p>
    <w:p>
      <w:pPr>
        <w:spacing w:after="0" w:line="355" w:lineRule="exact"/>
        <w:rPr>
          <w:sz w:val="20"/>
          <w:szCs w:val="20"/>
          <w:color w:val="auto"/>
        </w:rPr>
      </w:pPr>
    </w:p>
    <w:p>
      <w:pPr>
        <w:sectPr>
          <w:pgSz w:w="11900" w:h="16838" w:orient="portrait"/>
          <w:cols w:equalWidth="0" w:num="4">
            <w:col w:w="880" w:space="720"/>
            <w:col w:w="4380" w:space="720"/>
            <w:col w:w="1960" w:space="100"/>
            <w:col w:w="1459"/>
          </w:cols>
          <w:pgMar w:left="240" w:top="633" w:right="1440" w:bottom="1440" w:gutter="0" w:footer="0" w:header="0"/>
          <w:type w:val="continuous"/>
        </w:sectPr>
      </w:pPr>
    </w:p>
    <w:p>
      <w:pPr>
        <w:ind w:left="1780"/>
        <w:spacing w:after="0"/>
        <w:rPr>
          <w:sz w:val="20"/>
          <w:szCs w:val="20"/>
          <w:color w:val="auto"/>
        </w:rPr>
      </w:pPr>
      <w:r>
        <w:rPr>
          <w:rFonts w:ascii="Courier New" w:cs="Courier New" w:eastAsia="Courier New" w:hAnsi="Courier New"/>
          <w:sz w:val="15"/>
          <w:szCs w:val="15"/>
          <w:color w:val="auto"/>
        </w:rPr>
        <w:t>in common</w:t>
      </w:r>
    </w:p>
    <w:p>
      <w:pPr>
        <w:spacing w:after="0" w:line="4"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7240"/>
        <w:spacing w:after="0"/>
        <w:rPr>
          <w:sz w:val="20"/>
          <w:szCs w:val="20"/>
          <w:color w:val="auto"/>
        </w:rPr>
      </w:pPr>
      <w:r>
        <w:rPr>
          <w:rFonts w:ascii="Courier New" w:cs="Courier New" w:eastAsia="Courier New" w:hAnsi="Courier New"/>
          <w:sz w:val="15"/>
          <w:szCs w:val="15"/>
          <w:color w:val="auto"/>
        </w:rPr>
        <w:t>(State)</w:t>
      </w: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Additional abbreviations may also be used though not in the above list.</w:t>
      </w:r>
    </w:p>
    <w:p>
      <w:pPr>
        <w:spacing w:after="0" w:line="346"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3" w:right="1440" w:bottom="1440" w:gutter="0" w:footer="0" w:header="0"/>
          <w:type w:val="continuous"/>
        </w:sectPr>
      </w:pPr>
    </w:p>
    <w:bookmarkStart w:id="68" w:name="page69"/>
    <w:bookmarkEnd w:id="68"/>
    <w:p>
      <w:pPr>
        <w:ind w:left="3048"/>
        <w:spacing w:after="0"/>
        <w:rPr>
          <w:sz w:val="20"/>
          <w:szCs w:val="20"/>
          <w:color w:val="auto"/>
        </w:rPr>
      </w:pPr>
      <w:r>
        <w:rPr>
          <w:rFonts w:ascii="Courier New" w:cs="Courier New" w:eastAsia="Courier New" w:hAnsi="Courier New"/>
          <w:sz w:val="15"/>
          <w:szCs w:val="15"/>
          <w:color w:val="auto"/>
        </w:rPr>
        <w:t>ASSIGNMENT</w:t>
      </w:r>
    </w:p>
    <w:p>
      <w:pPr>
        <w:spacing w:after="0" w:line="176" w:lineRule="exact"/>
        <w:rPr>
          <w:sz w:val="20"/>
          <w:szCs w:val="20"/>
          <w:color w:val="auto"/>
        </w:rPr>
      </w:pPr>
    </w:p>
    <w:p>
      <w:pPr>
        <w:ind w:left="8" w:right="3599" w:firstLine="805"/>
        <w:spacing w:after="0"/>
        <w:rPr>
          <w:sz w:val="20"/>
          <w:szCs w:val="20"/>
          <w:color w:val="auto"/>
        </w:rPr>
      </w:pPr>
      <w:r>
        <w:rPr>
          <w:rFonts w:ascii="Courier New" w:cs="Courier New" w:eastAsia="Courier New" w:hAnsi="Courier New"/>
          <w:sz w:val="15"/>
          <w:szCs w:val="15"/>
          <w:color w:val="auto"/>
        </w:rPr>
        <w:t>FOR VALUE RECEIVED, the undersigned hereby sell(s), assign(s) and transfer(s) unto</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PLEASE INSERT SOCIAL SECURITY OR</w:t>
      </w:r>
    </w:p>
    <w:p>
      <w:pPr>
        <w:spacing w:after="0" w:line="174" w:lineRule="exact"/>
        <w:rPr>
          <w:sz w:val="20"/>
          <w:szCs w:val="20"/>
          <w:color w:val="auto"/>
        </w:rPr>
      </w:pPr>
    </w:p>
    <w:p>
      <w:pPr>
        <w:jc w:val="center"/>
        <w:ind w:right="7631"/>
        <w:spacing w:after="0"/>
        <w:rPr>
          <w:sz w:val="20"/>
          <w:szCs w:val="20"/>
          <w:color w:val="auto"/>
        </w:rPr>
      </w:pPr>
      <w:r>
        <w:rPr>
          <w:rFonts w:ascii="Courier New" w:cs="Courier New" w:eastAsia="Courier New" w:hAnsi="Courier New"/>
          <w:sz w:val="15"/>
          <w:szCs w:val="15"/>
          <w:color w:val="auto"/>
        </w:rPr>
        <w:t>OTHER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IDENTIFYING NUMBER OF ASSIGNEE</w:t>
      </w:r>
    </w:p>
    <w:p>
      <w:pPr>
        <w:sectPr>
          <w:pgSz w:w="11900" w:h="16838" w:orient="portrait"/>
          <w:cols w:equalWidth="0" w:num="1">
            <w:col w:w="10227"/>
          </w:cols>
          <w:pgMar w:left="232" w:top="633"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ectPr>
          <w:pgSz w:w="11900" w:h="16838" w:orient="portrait"/>
          <w:cols w:equalWidth="0" w:num="2">
            <w:col w:w="1868" w:space="720"/>
            <w:col w:w="763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633" w:right="1440" w:bottom="1440" w:gutter="0" w:footer="0" w:header="0"/>
          <w:type w:val="continuous"/>
        </w:sectPr>
      </w:pPr>
    </w:p>
    <w:p>
      <w:pPr>
        <w:spacing w:after="0" w:line="185" w:lineRule="exact"/>
        <w:rPr>
          <w:sz w:val="20"/>
          <w:szCs w:val="20"/>
          <w:color w:val="auto"/>
        </w:rPr>
      </w:pPr>
    </w:p>
    <w:p>
      <w:pPr>
        <w:ind w:left="88" w:right="4859" w:hanging="88"/>
        <w:spacing w:after="0"/>
        <w:rPr>
          <w:sz w:val="20"/>
          <w:szCs w:val="20"/>
          <w:color w:val="auto"/>
        </w:rPr>
      </w:pPr>
      <w:r>
        <w:rPr>
          <w:rFonts w:ascii="Courier New" w:cs="Courier New" w:eastAsia="Courier New" w:hAnsi="Courier New"/>
          <w:sz w:val="15"/>
          <w:szCs w:val="15"/>
          <w:color w:val="auto"/>
        </w:rPr>
        <w:t>(Please print or typewrite name and address including postal zip code of assignee)</w:t>
      </w:r>
    </w:p>
    <w:p>
      <w:pPr>
        <w:spacing w:after="0" w:line="4" w:lineRule="exact"/>
        <w:rPr>
          <w:sz w:val="20"/>
          <w:szCs w:val="20"/>
          <w:color w:val="auto"/>
        </w:rPr>
      </w:pPr>
    </w:p>
    <w:p>
      <w:pPr>
        <w:ind w:left="188" w:hanging="188"/>
        <w:spacing w:after="0"/>
        <w:tabs>
          <w:tab w:leader="none" w:pos="18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8" w:right="423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this Note and all rights thereunder hereby irrevocably constituting and appointing</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8" w:right="325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Attorney to transfer this Note on the books of the Company, with full power of substitution in the premises.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Dated:</w:t>
      </w:r>
    </w:p>
    <w:p>
      <w:pPr>
        <w:spacing w:after="0" w:line="174" w:lineRule="exact"/>
        <w:rPr>
          <w:sz w:val="20"/>
          <w:szCs w:val="20"/>
          <w:color w:val="auto"/>
        </w:rPr>
      </w:pPr>
    </w:p>
    <w:p>
      <w:pPr>
        <w:ind w:left="528"/>
        <w:spacing w:after="0"/>
        <w:tabs>
          <w:tab w:leader="none" w:pos="38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528"/>
        <w:spacing w:after="0"/>
        <w:tabs>
          <w:tab w:leader="none" w:pos="38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Notice: The signature(s) on</w:t>
      </w:r>
    </w:p>
    <w:p>
      <w:pPr>
        <w:spacing w:after="0" w:line="2"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this Assignment must correspond</w:t>
      </w:r>
    </w:p>
    <w:p>
      <w:pPr>
        <w:spacing w:after="0" w:line="2"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with the name(s) as written upon</w:t>
      </w:r>
    </w:p>
    <w:p>
      <w:pPr>
        <w:spacing w:after="0" w:line="2"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the face of this Note in every</w:t>
      </w:r>
    </w:p>
    <w:p>
      <w:pPr>
        <w:spacing w:after="0" w:line="2"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particular, without alteration</w:t>
      </w:r>
    </w:p>
    <w:p>
      <w:pPr>
        <w:spacing w:after="0" w:line="2"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or enlargement or any change</w:t>
      </w:r>
    </w:p>
    <w:p>
      <w:pPr>
        <w:spacing w:after="0" w:line="2"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whatsoever.</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3" w:right="1440" w:bottom="1440" w:gutter="0" w:footer="0" w:header="0"/>
          <w:type w:val="continuous"/>
        </w:sectPr>
      </w:pPr>
    </w:p>
    <w:bookmarkStart w:id="69" w:name="page70"/>
    <w:bookmarkEnd w:id="69"/>
    <w:p>
      <w:pPr>
        <w:ind w:left="6160"/>
        <w:spacing w:after="0"/>
        <w:rPr>
          <w:sz w:val="20"/>
          <w:szCs w:val="20"/>
          <w:color w:val="auto"/>
        </w:rPr>
      </w:pPr>
      <w:r>
        <w:rPr>
          <w:rFonts w:ascii="Courier New" w:cs="Courier New" w:eastAsia="Courier New" w:hAnsi="Courier New"/>
          <w:sz w:val="15"/>
          <w:szCs w:val="15"/>
          <w:color w:val="auto"/>
        </w:rPr>
        <w:t>EXHIBIT 12</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COLGATE-PALMOLIVE COMPANY</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Dollars in Millions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55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2000</w:t>
            </w:r>
          </w:p>
        </w:tc>
      </w:tr>
      <w:tr>
        <w:trPr>
          <w:trHeight w:val="172"/>
        </w:trPr>
        <w:tc>
          <w:tcPr>
            <w:tcW w:w="55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$1,567.2</w:t>
            </w: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1600" w:type="dxa"/>
            <w:vAlign w:val="bottom"/>
          </w:tcPr>
          <w:p>
            <w:pPr>
              <w:spacing w:after="0"/>
              <w:rPr>
                <w:sz w:val="14"/>
                <w:szCs w:val="14"/>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Interest on indebtedness and amortization of debt expense and</w:t>
            </w:r>
          </w:p>
        </w:tc>
        <w:tc>
          <w:tcPr>
            <w:tcW w:w="1600" w:type="dxa"/>
            <w:vAlign w:val="bottom"/>
          </w:tcPr>
          <w:p>
            <w:pPr>
              <w:spacing w:after="0"/>
              <w:rPr>
                <w:sz w:val="14"/>
                <w:szCs w:val="14"/>
                <w:color w:val="auto"/>
              </w:rPr>
            </w:pPr>
          </w:p>
        </w:tc>
      </w:tr>
      <w:tr>
        <w:trPr>
          <w:trHeight w:val="172"/>
        </w:trPr>
        <w:tc>
          <w:tcPr>
            <w:tcW w:w="5540" w:type="dxa"/>
            <w:vAlign w:val="bottom"/>
          </w:tcPr>
          <w:p>
            <w:pPr>
              <w:ind w:left="80"/>
              <w:spacing w:after="0"/>
              <w:rPr>
                <w:sz w:val="20"/>
                <w:szCs w:val="20"/>
                <w:color w:val="auto"/>
              </w:rPr>
            </w:pPr>
            <w:r>
              <w:rPr>
                <w:rFonts w:ascii="Courier New" w:cs="Courier New" w:eastAsia="Courier New" w:hAnsi="Courier New"/>
                <w:sz w:val="15"/>
                <w:szCs w:val="15"/>
                <w:color w:val="auto"/>
              </w:rPr>
              <w:t>discount or premium.........................................</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Portion of rents representative of interest factor...........</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30.2</w:t>
            </w: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Interest on ESOP debt, net of dividends......................</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w:t>
            </w: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1600" w:type="dxa"/>
            <w:vAlign w:val="bottom"/>
          </w:tcPr>
          <w:p>
            <w:pPr>
              <w:spacing w:after="0"/>
              <w:rPr>
                <w:sz w:val="14"/>
                <w:szCs w:val="14"/>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Income of less than fifty-percent-owned subsidiaries.........</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w:t>
            </w:r>
          </w:p>
        </w:tc>
      </w:tr>
      <w:tr>
        <w:trPr>
          <w:trHeight w:val="172"/>
        </w:trPr>
        <w:tc>
          <w:tcPr>
            <w:tcW w:w="5540" w:type="dxa"/>
            <w:vAlign w:val="bottom"/>
          </w:tcPr>
          <w:p>
            <w:pPr>
              <w:spacing w:after="0"/>
              <w:rPr>
                <w:sz w:val="14"/>
                <w:szCs w:val="14"/>
                <w:color w:val="auto"/>
              </w:rPr>
            </w:pP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Income as adjusted...........................................</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$1,797.7</w:t>
            </w:r>
          </w:p>
        </w:tc>
      </w:tr>
      <w:tr>
        <w:trPr>
          <w:trHeight w:val="172"/>
        </w:trPr>
        <w:tc>
          <w:tcPr>
            <w:tcW w:w="5540" w:type="dxa"/>
            <w:vAlign w:val="bottom"/>
          </w:tcPr>
          <w:p>
            <w:pPr>
              <w:spacing w:after="0"/>
              <w:rPr>
                <w:sz w:val="14"/>
                <w:szCs w:val="14"/>
                <w:color w:val="auto"/>
              </w:rPr>
            </w:pP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600" w:type="dxa"/>
            <w:vAlign w:val="bottom"/>
          </w:tcPr>
          <w:p>
            <w:pPr>
              <w:spacing w:after="0"/>
              <w:rPr>
                <w:sz w:val="14"/>
                <w:szCs w:val="14"/>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Interest on indebtedness and amortization of debt expense and</w:t>
            </w:r>
          </w:p>
        </w:tc>
        <w:tc>
          <w:tcPr>
            <w:tcW w:w="1600" w:type="dxa"/>
            <w:vAlign w:val="bottom"/>
          </w:tcPr>
          <w:p>
            <w:pPr>
              <w:spacing w:after="0"/>
              <w:rPr>
                <w:sz w:val="14"/>
                <w:szCs w:val="14"/>
                <w:color w:val="auto"/>
              </w:rPr>
            </w:pPr>
          </w:p>
        </w:tc>
      </w:tr>
      <w:tr>
        <w:trPr>
          <w:trHeight w:val="172"/>
        </w:trPr>
        <w:tc>
          <w:tcPr>
            <w:tcW w:w="5540" w:type="dxa"/>
            <w:vAlign w:val="bottom"/>
          </w:tcPr>
          <w:p>
            <w:pPr>
              <w:ind w:left="80"/>
              <w:spacing w:after="0"/>
              <w:rPr>
                <w:sz w:val="20"/>
                <w:szCs w:val="20"/>
                <w:color w:val="auto"/>
              </w:rPr>
            </w:pPr>
            <w:r>
              <w:rPr>
                <w:rFonts w:ascii="Courier New" w:cs="Courier New" w:eastAsia="Courier New" w:hAnsi="Courier New"/>
                <w:sz w:val="15"/>
                <w:szCs w:val="15"/>
                <w:color w:val="auto"/>
              </w:rPr>
              <w:t>discount or premium.........................................</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Portion of rents representative of interest factor...........</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30.2</w:t>
            </w: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Interest on ESOP debt, net of dividends......................</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w:t>
            </w: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Capitalized interest.........................................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3.8</w:t>
            </w:r>
          </w:p>
        </w:tc>
      </w:tr>
      <w:tr>
        <w:trPr>
          <w:trHeight w:val="172"/>
        </w:trPr>
        <w:tc>
          <w:tcPr>
            <w:tcW w:w="5540" w:type="dxa"/>
            <w:vAlign w:val="bottom"/>
          </w:tcPr>
          <w:p>
            <w:pPr>
              <w:spacing w:after="0"/>
              <w:rPr>
                <w:sz w:val="14"/>
                <w:szCs w:val="14"/>
                <w:color w:val="auto"/>
              </w:rPr>
            </w:pP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Total fixed charges..........................................</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236.5</w:t>
            </w:r>
          </w:p>
        </w:tc>
      </w:tr>
      <w:tr>
        <w:trPr>
          <w:trHeight w:val="172"/>
        </w:trPr>
        <w:tc>
          <w:tcPr>
            <w:tcW w:w="5540" w:type="dxa"/>
            <w:vAlign w:val="bottom"/>
          </w:tcPr>
          <w:p>
            <w:pPr>
              <w:spacing w:after="0"/>
              <w:rPr>
                <w:sz w:val="14"/>
                <w:szCs w:val="14"/>
                <w:color w:val="auto"/>
              </w:rPr>
            </w:pP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7.6</w:t>
            </w:r>
          </w:p>
        </w:tc>
      </w:tr>
      <w:tr>
        <w:trPr>
          <w:trHeight w:val="172"/>
        </w:trPr>
        <w:tc>
          <w:tcPr>
            <w:tcW w:w="5540" w:type="dxa"/>
            <w:vAlign w:val="bottom"/>
          </w:tcPr>
          <w:p>
            <w:pPr>
              <w:spacing w:after="0"/>
              <w:rPr>
                <w:sz w:val="14"/>
                <w:szCs w:val="14"/>
                <w:color w:val="auto"/>
              </w:rPr>
            </w:pP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June 1989, the Company's leveraged employee stock ownership plan (ESOP) issued $410.0 long-term notes due through 2009 bearing an average interest rate of 8.7%. These notes are guaranteed by the Company. Interest incurred on the ESOP's notes was $31.4 in 2000. This interest is funded through preferred and common stock dividends. The fixed charges presented above include interest on ESOP indebtedness to the extent it is not funded through preferred and common stock dividends.</w:t>
      </w:r>
    </w:p>
    <w:p>
      <w:pPr>
        <w:sectPr>
          <w:pgSz w:w="11900" w:h="16838" w:orient="portrait"/>
          <w:cols w:equalWidth="0" w:num="1">
            <w:col w:w="10219"/>
          </w:cols>
          <w:pgMar w:left="240" w:top="484" w:right="1440" w:bottom="1440" w:gutter="0" w:footer="0" w:header="0"/>
        </w:sectPr>
      </w:pPr>
    </w:p>
    <w:bookmarkStart w:id="70" w:name="page71"/>
    <w:bookmarkEnd w:id="70"/>
    <w:p>
      <w:pPr>
        <w:ind w:left="6160"/>
        <w:spacing w:after="0"/>
        <w:rPr>
          <w:sz w:val="20"/>
          <w:szCs w:val="20"/>
          <w:color w:val="auto"/>
        </w:rPr>
      </w:pPr>
      <w:r>
        <w:rPr>
          <w:rFonts w:ascii="Courier New" w:cs="Courier New" w:eastAsia="Courier New" w:hAnsi="Courier New"/>
          <w:sz w:val="15"/>
          <w:szCs w:val="15"/>
          <w:color w:val="auto"/>
        </w:rPr>
        <w:t>EXHIBIT 21</w:t>
      </w:r>
    </w:p>
    <w:p>
      <w:pPr>
        <w:spacing w:after="0" w:line="4" w:lineRule="exact"/>
        <w:rPr>
          <w:sz w:val="20"/>
          <w:szCs w:val="20"/>
          <w:color w:val="auto"/>
        </w:rPr>
      </w:pPr>
    </w:p>
    <w:p>
      <w:pPr>
        <w:ind w:left="6160"/>
        <w:spacing w:after="0"/>
        <w:rPr>
          <w:sz w:val="20"/>
          <w:szCs w:val="20"/>
          <w:color w:val="auto"/>
        </w:rPr>
      </w:pPr>
      <w:r>
        <w:rPr>
          <w:rFonts w:ascii="Courier New" w:cs="Courier New" w:eastAsia="Courier New" w:hAnsi="Courier New"/>
          <w:sz w:val="14"/>
          <w:szCs w:val="14"/>
          <w:color w:val="auto"/>
        </w:rPr>
        <w:t>Page 1 of 6</w:t>
      </w:r>
    </w:p>
    <w:p>
      <w:pPr>
        <w:spacing w:after="0" w:line="18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SUBSIDIARIES OF THE REGISTRANT</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State in which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or Country</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which Organized</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6880" w:space="720"/>
            <w:col w:w="2619"/>
          </w:cols>
          <w:pgMar w:left="240" w:top="48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Alexandril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Arkay Pty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Asia Pioneer Co.,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Baser Kimya Sanayii Ve Ticaret Anonim Sirketi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Baser Turketim Pazarlama Ve Ticaret Anonim Sirketi</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Bella,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Camelot Investments Co.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Chemtech (BVI) Co.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Chet (Chemicals) (Proprietary)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CKS,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Cleaning Dimensions,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Colgalive,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 (BVI)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 (Guangzhou) Co.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 (U.K.)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 Flavors and Fragrances,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 Holdings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 Music Direct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 Oral Pharmaceuticals,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 Sports Foundation,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 Venture Company,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&amp; Cia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A.B.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A.G.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Adria d.o.o.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(America),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Belgium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Beteiligungsverwaltungs mbH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(B) Sdn. Bhd.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(Blantyre)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Bolivia, Ltda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(Borzesti) SRL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(Botswana) (Proprietary)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(Bulgaria)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(C.A.) Inc. y Compania Limitada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Cameroun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Canada,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Uruguay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Hong Kong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Turkiye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Turkiye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British Virgin Islands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Africa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Dominica Republic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British Virgin Islands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Philippines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Colombia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Sweden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Slovenia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Denmark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Belgium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Brunei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Malawi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Bolivia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Romania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Botswana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Bulgaria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Guatemala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Cameroon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ectPr>
          <w:pgSz w:w="11900" w:h="16838" w:orient="portrait"/>
          <w:cols w:equalWidth="0" w:num="2">
            <w:col w:w="7240" w:space="720"/>
            <w:col w:w="2259"/>
          </w:cols>
          <w:pgMar w:left="240" w:top="484" w:right="1440" w:bottom="1440" w:gutter="0" w:footer="0" w:header="0"/>
          <w:type w:val="continuous"/>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1620"/>
        <w:spacing w:after="0" w:line="242" w:lineRule="auto"/>
        <w:rPr>
          <w:sz w:val="20"/>
          <w:szCs w:val="20"/>
          <w:color w:val="auto"/>
        </w:rPr>
      </w:pPr>
      <w:r>
        <w:rPr>
          <w:rFonts w:ascii="Courier New" w:cs="Courier New" w:eastAsia="Courier New" w:hAnsi="Courier New"/>
          <w:sz w:val="15"/>
          <w:szCs w:val="15"/>
          <w:color w:val="auto"/>
        </w:rPr>
        <w:t>Colgate-Palmolive (Caribbean), Inc. Colgate-Palmolive (Central America), Inc. Colgate-Palmolive Central European Management Inc. Colgate-Palmolive (Centro America) S.A. Colgate-Palmolive (Ceylon) Limited Colgate-Palmolive Charitable Foundation Colgate-Palmolive Chile S.A.</w:t>
      </w:r>
    </w:p>
    <w:p>
      <w:pPr>
        <w:spacing w:after="0" w:line="5" w:lineRule="exact"/>
        <w:rPr>
          <w:sz w:val="20"/>
          <w:szCs w:val="20"/>
          <w:color w:val="auto"/>
        </w:rPr>
      </w:pPr>
    </w:p>
    <w:p>
      <w:pPr>
        <w:ind w:right="2060"/>
        <w:spacing w:after="0" w:line="242" w:lineRule="auto"/>
        <w:rPr>
          <w:sz w:val="20"/>
          <w:szCs w:val="20"/>
          <w:color w:val="auto"/>
        </w:rPr>
      </w:pPr>
      <w:r>
        <w:rPr>
          <w:rFonts w:ascii="Courier New" w:cs="Courier New" w:eastAsia="Courier New" w:hAnsi="Courier New"/>
          <w:sz w:val="15"/>
          <w:szCs w:val="15"/>
          <w:color w:val="auto"/>
        </w:rPr>
        <w:t>Colgate-Palmolive, Cia. Colgate-Palmolive Co. (Jamaica) Ltd. Colgate-Palmolive Compania Anonima Colgate-Palmolive Company, Distr. Colgate-Palmolive (Costa Rica), S.A. Colgate-Palmolive Cote d'Ivoire, S.A. Colgate-Palmolive Czech Republic spol. s.r.o. Colgate-Palmolive de Paraguay, S.A. Colgate-Palmolive de Puerto Rico, Inc. Colgate-Palmolive del Ecuador, S.A. Colgate-Palmolive del Peru (Delaware) Inc. Colgate-Palmolive Deutschland Holding GmbH Colgate-Palmolive Development Corp. Colgate-Palmolive Distribution Co. (Pty) Ltd Colgate-Palmolive (Dominica), Inc. Colgate-Palmolive (Dominican Republic), Inc. Colgate-Palmolive (East Africa) Limited Colgate-Palmolive (Eastern) Pte. Ltd Colgate-Palmolive (Egypt) S.A.E. Colgate-Palmolive Enterprises, Inc. Colgate-Palmolive Espana, S.A Colgate-Palmolive Europe S.A. Colgate-Palmolive (Far East) Sdn Bhd Colgate-Palmolive (Fiji) Limited Colgate-Palmolive (Finance) (Pty) Limited Colgate-Palmolive G.m.b.H.</w:t>
      </w:r>
    </w:p>
    <w:p>
      <w:pPr>
        <w:spacing w:after="0" w:line="360" w:lineRule="exact"/>
        <w:rPr>
          <w:sz w:val="20"/>
          <w:szCs w:val="20"/>
          <w:color w:val="auto"/>
        </w:rPr>
      </w:pPr>
    </w:p>
    <w:p>
      <w:pPr>
        <w:ind w:right="2520"/>
        <w:spacing w:after="0" w:line="242" w:lineRule="auto"/>
        <w:rPr>
          <w:sz w:val="20"/>
          <w:szCs w:val="20"/>
          <w:color w:val="auto"/>
        </w:rPr>
      </w:pPr>
      <w:r>
        <w:rPr>
          <w:rFonts w:ascii="Courier New" w:cs="Courier New" w:eastAsia="Courier New" w:hAnsi="Courier New"/>
          <w:sz w:val="15"/>
          <w:szCs w:val="15"/>
          <w:color w:val="auto"/>
        </w:rPr>
        <w:t>Colgate-Palmolive (Gabon) S.A. Colgate-Palmolive Gesellschaft G.m.b.H. Colgate-Palmolive Global Trading Company Colgate-Palmolive (Gulf States) Ltd. Colgate-Palmolive (Guyana) Ltd Colgate-Palmolive (H.K.) Limited Colgate-Palmolive (Hellas) S.A. I.C. Colgate-Palmolive Holding Argentina S.A. Colgate-Palmolive Holding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Hungary Trading Unlimited Partnership Colgate-Palmolive (Hungary) Manufacturing, Limited Liability Company</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EXHIBIT 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 of 6</w:t>
      </w:r>
    </w:p>
    <w:p>
      <w:pPr>
        <w:spacing w:after="0" w:line="346"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State in which</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Incorporated or Country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in which Organized</w:t>
      </w:r>
    </w:p>
    <w:p>
      <w:pPr>
        <w:spacing w:after="0" w:line="2"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Guatemala</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Sri Lanka</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Chile</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Jamaica</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Venezuela</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Puerto Rico</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Costa Rica</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Ivory Coast</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Czechoslovakia</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Paraguay</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Ecuador</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Germany</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Botswana</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Kenya</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Singapore</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Egypt</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Spain</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Belgium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Malaysia</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Fiji Islands</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South Africa</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Germany</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Gabon</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Austria</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British Virgin Islands</w:t>
      </w:r>
    </w:p>
    <w:p>
      <w:pPr>
        <w:spacing w:after="0" w:line="1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Guyana</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Hong Kong</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Greece</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Argentina</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Hungary</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Hungary</w:t>
      </w:r>
    </w:p>
    <w:p>
      <w:pPr>
        <w:sectPr>
          <w:pgSz w:w="11900" w:h="16838" w:orient="portrait"/>
          <w:cols w:equalWidth="0" w:num="2">
            <w:col w:w="6080" w:space="80"/>
            <w:col w:w="4059"/>
          </w:cols>
          <w:pgMar w:left="240" w:top="633" w:right="1440" w:bottom="1440" w:gutter="0" w:footer="0" w:header="0"/>
        </w:sectPr>
      </w:pPr>
    </w:p>
    <w:bookmarkStart w:id="72" w:name="page73"/>
    <w:bookmarkEnd w:id="72"/>
    <w:p>
      <w:pPr>
        <w:ind w:left="6260"/>
        <w:spacing w:after="0"/>
        <w:rPr>
          <w:sz w:val="20"/>
          <w:szCs w:val="20"/>
          <w:color w:val="auto"/>
        </w:rPr>
      </w:pPr>
      <w:r>
        <w:rPr>
          <w:rFonts w:ascii="Courier New" w:cs="Courier New" w:eastAsia="Courier New" w:hAnsi="Courier New"/>
          <w:sz w:val="14"/>
          <w:szCs w:val="14"/>
          <w:color w:val="auto"/>
        </w:rPr>
        <w:t>EXHIBIT 21</w:t>
      </w:r>
    </w:p>
    <w:p>
      <w:pPr>
        <w:spacing w:after="0" w:line="13" w:lineRule="exact"/>
        <w:rPr>
          <w:sz w:val="20"/>
          <w:szCs w:val="20"/>
          <w:color w:val="auto"/>
        </w:rPr>
      </w:pPr>
    </w:p>
    <w:p>
      <w:pPr>
        <w:ind w:left="6160"/>
        <w:spacing w:after="0"/>
        <w:rPr>
          <w:sz w:val="20"/>
          <w:szCs w:val="20"/>
          <w:color w:val="auto"/>
        </w:rPr>
      </w:pPr>
      <w:r>
        <w:rPr>
          <w:rFonts w:ascii="Courier New" w:cs="Courier New" w:eastAsia="Courier New" w:hAnsi="Courier New"/>
          <w:sz w:val="14"/>
          <w:szCs w:val="14"/>
          <w:color w:val="auto"/>
        </w:rPr>
        <w:t>Page 3 of 6</w:t>
      </w:r>
    </w:p>
    <w:p>
      <w:pPr>
        <w:sectPr>
          <w:pgSz w:w="11900" w:h="16838" w:orient="portrait"/>
          <w:cols w:equalWidth="0" w:num="1">
            <w:col w:w="10219"/>
          </w:cols>
          <w:pgMar w:left="240" w:top="6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State in which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or Country</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which Organized</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6880" w:space="720"/>
            <w:col w:w="261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Colgate-Palmolive,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(India)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Industries (Private)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International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Investment Co.,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Investments (BVI)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Investments,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Investments (PNG) Pty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Italia S.r.l.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(Latvia) SIA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Ltda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(Malaysia) Sdn Bhd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Manufacturing (Barbados) Limited</w:t>
      </w:r>
    </w:p>
    <w:p>
      <w:pPr>
        <w:spacing w:after="0" w:line="2" w:lineRule="exact"/>
        <w:rPr>
          <w:sz w:val="20"/>
          <w:szCs w:val="20"/>
          <w:color w:val="auto"/>
        </w:rPr>
      </w:pPr>
    </w:p>
    <w:p>
      <w:pPr>
        <w:spacing w:after="0"/>
        <w:tabs>
          <w:tab w:leader="none" w:pos="2740" w:val="left"/>
        </w:tabs>
        <w:rPr>
          <w:sz w:val="20"/>
          <w:szCs w:val="20"/>
          <w:color w:val="auto"/>
        </w:rPr>
      </w:pPr>
      <w:r>
        <w:rPr>
          <w:rFonts w:ascii="Courier New" w:cs="Courier New" w:eastAsia="Courier New" w:hAnsi="Courier New"/>
          <w:sz w:val="15"/>
          <w:szCs w:val="15"/>
          <w:color w:val="auto"/>
        </w:rPr>
        <w:t>Colgate-Palmolive (Marketing)</w:t>
        <w:tab/>
        <w:t>Sdn Bhd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Mennen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(Middle East Exports)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(Mocambique) Limitada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Morocco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Nederland B.V.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(Nepal) Private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(New York),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(Nigeria) Services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NJ,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Norge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Senegal (ex NSOA)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Colgate-Palmolive Participacoes e Investimentos Imobiliarios, 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Philippines,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Peru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Papua New Guinea Pty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(Poland) Sp. z 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Pty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(Pty)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(Research &amp; Development),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(Romania) SRL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S.A. de C.V.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(Slovakia) sro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Sociedad Anonima Industrial y Commercial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Son Hai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S.p.A.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SP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Support Services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Temizlik Urunleri Sanayi ve Ticart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(Thailand)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Transnational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Zimbabwe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British Virgin Islands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Papua New Guinea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Latvia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Zealand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Malaysia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Barbados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Malaysia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British Virgin Islands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Mozambique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Morocco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Nepal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Nigeria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Jersey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Senegal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Portugal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Philippines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Peru</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Papua New Guinea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Africa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Romania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Portugal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Slovakia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Argentina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Vietnam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Ukraine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Turkiye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Thailand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2">
            <w:col w:w="7240" w:space="720"/>
            <w:col w:w="2259"/>
          </w:cols>
          <w:pgMar w:left="240" w:top="635" w:right="1440" w:bottom="1440" w:gutter="0" w:footer="0" w:header="0"/>
          <w:type w:val="continuous"/>
        </w:sectPr>
      </w:pPr>
    </w:p>
    <w:bookmarkStart w:id="73" w:name="page74"/>
    <w:bookmarkEnd w:id="73"/>
    <w:p>
      <w:pPr>
        <w:ind w:left="6260"/>
        <w:spacing w:after="0"/>
        <w:rPr>
          <w:sz w:val="20"/>
          <w:szCs w:val="20"/>
          <w:color w:val="auto"/>
        </w:rPr>
      </w:pPr>
      <w:r>
        <w:rPr>
          <w:rFonts w:ascii="Courier New" w:cs="Courier New" w:eastAsia="Courier New" w:hAnsi="Courier New"/>
          <w:sz w:val="14"/>
          <w:szCs w:val="14"/>
          <w:color w:val="auto"/>
        </w:rPr>
        <w:t>EXHIBIT 21</w:t>
      </w:r>
    </w:p>
    <w:p>
      <w:pPr>
        <w:spacing w:after="0" w:line="13" w:lineRule="exact"/>
        <w:rPr>
          <w:sz w:val="20"/>
          <w:szCs w:val="20"/>
          <w:color w:val="auto"/>
        </w:rPr>
      </w:pPr>
    </w:p>
    <w:p>
      <w:pPr>
        <w:ind w:left="6160"/>
        <w:spacing w:after="0"/>
        <w:rPr>
          <w:sz w:val="20"/>
          <w:szCs w:val="20"/>
          <w:color w:val="auto"/>
        </w:rPr>
      </w:pPr>
      <w:r>
        <w:rPr>
          <w:rFonts w:ascii="Courier New" w:cs="Courier New" w:eastAsia="Courier New" w:hAnsi="Courier New"/>
          <w:sz w:val="14"/>
          <w:szCs w:val="14"/>
          <w:color w:val="auto"/>
        </w:rPr>
        <w:t>Page 4 of 6</w:t>
      </w:r>
    </w:p>
    <w:p>
      <w:pPr>
        <w:sectPr>
          <w:pgSz w:w="11900" w:h="16838" w:orient="portrait"/>
          <w:cols w:equalWidth="0" w:num="1">
            <w:col w:w="10219"/>
          </w:cols>
          <w:pgMar w:left="240" w:top="6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State in which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or Country</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which Organized</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6340" w:space="720"/>
            <w:col w:w="31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Colgate-Palmolive (Uganda)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(Ukraine) A/O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(U.K.)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(Zambia)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(Zimbabwe),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Colgate-Palmolive (Zimbabwe) (Private)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Viewpoint Center,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Cosmeticos Grasse Ltda.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Cotelle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CP Adina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CP Australia Employee Share Scheme Pty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CP Super Management Pty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CPC Funding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CPIF Venture,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Delpha,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Dental Pack Industria E Comercio Ltda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Dentatech (BVI) Co.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DF Soap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DFW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Dimac Development Corp.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Development,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Dominica Coconut Products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EKIB,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ELM Company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Empresa de Maquilas, S.A. de C.V.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Estrellas Colgate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Fundacion Colgate-Palmolive Dominicana, N/A,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Gamma Development Company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Trading and Supply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Hamol B.V.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Hamol,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Hawley &amp; Hazel (BVI) Company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Hawley &amp; Hazel (Malaysia) Sdn Bhd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Hawley &amp; Hazel Chemical Co. (H.K.)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Hawley &amp; Hazel Chemical Co. Singapore (Pte.) Ltd.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Hawley &amp; Hazel Chemical Company (Zhongshou) Limited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Hawley &amp; Hazel Chemical (Taiwan) Corporation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Hawley &amp; Hazel China Investment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Hawley &amp; Hazel Investment Co.,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Hawley &amp; Hazel Investment Co. (H.K.)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Hawley &amp; Hazel Taiwan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Herrick International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Funding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Nutrition B.V.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International Sales FSC B.V.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Nutrition Canada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Nutrition de Argentina,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Uganda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Ukraine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Zimbabwe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Jersey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Colombia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British Virgin Islands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Massachusetts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Dominica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Bermuda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Dominican Republic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Thailand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British Virgin Islands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Malaysia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Hong Kong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Taiwan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Hong Kong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Hong Kong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Taiwan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British Virgin Islands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Argentina</w:t>
      </w:r>
    </w:p>
    <w:p>
      <w:pPr>
        <w:sectPr>
          <w:pgSz w:w="11900" w:h="16838" w:orient="portrait"/>
          <w:cols w:equalWidth="0" w:num="2">
            <w:col w:w="7240" w:space="720"/>
            <w:col w:w="2259"/>
          </w:cols>
          <w:pgMar w:left="240" w:top="635" w:right="1440" w:bottom="1440" w:gutter="0" w:footer="0" w:header="0"/>
          <w:type w:val="continuous"/>
        </w:sectPr>
      </w:pPr>
    </w:p>
    <w:bookmarkStart w:id="74" w:name="page75"/>
    <w:bookmarkEnd w:id="74"/>
    <w:p>
      <w:pPr>
        <w:ind w:left="6160"/>
        <w:spacing w:after="0"/>
        <w:rPr>
          <w:sz w:val="20"/>
          <w:szCs w:val="20"/>
          <w:color w:val="auto"/>
        </w:rPr>
      </w:pPr>
      <w:r>
        <w:rPr>
          <w:rFonts w:ascii="Courier New" w:cs="Courier New" w:eastAsia="Courier New" w:hAnsi="Courier New"/>
          <w:sz w:val="15"/>
          <w:szCs w:val="15"/>
          <w:color w:val="auto"/>
        </w:rPr>
        <w:t>EXHIBIT 21</w:t>
      </w:r>
    </w:p>
    <w:p>
      <w:pPr>
        <w:spacing w:after="0" w:line="4" w:lineRule="exact"/>
        <w:rPr>
          <w:sz w:val="20"/>
          <w:szCs w:val="20"/>
          <w:color w:val="auto"/>
        </w:rPr>
      </w:pPr>
    </w:p>
    <w:p>
      <w:pPr>
        <w:ind w:left="6160"/>
        <w:spacing w:after="0"/>
        <w:rPr>
          <w:sz w:val="20"/>
          <w:szCs w:val="20"/>
          <w:color w:val="auto"/>
        </w:rPr>
      </w:pPr>
      <w:r>
        <w:rPr>
          <w:rFonts w:ascii="Courier New" w:cs="Courier New" w:eastAsia="Courier New" w:hAnsi="Courier New"/>
          <w:sz w:val="14"/>
          <w:szCs w:val="14"/>
          <w:color w:val="auto"/>
        </w:rPr>
        <w:t>Page 5 of 6</w:t>
      </w:r>
    </w:p>
    <w:p>
      <w:pPr>
        <w:sectPr>
          <w:pgSz w:w="11900" w:h="16838" w:orient="portrait"/>
          <w:cols w:equalWidth="0" w:num="1">
            <w:col w:w="10219"/>
          </w:cols>
          <w:pgMar w:left="240" w:top="4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State in which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or Country</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which Organized</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6880" w:space="720"/>
            <w:col w:w="2619"/>
          </w:cols>
          <w:pgMar w:left="240" w:top="46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Hill's Pet Nutrition de Puerto Rico,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Nutrition Espana, S.L.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Nutrition GmbH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Nutrition,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Nutrition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Nutrition Manufacturing, B.V.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Nutrition Pty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Nutrition Sales,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Products (Benelux)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Products de Mexico, S.A. de C.V.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Nutrition (NZ)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Nutrition Manufacturing, B.V.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Nutrition S.p.A.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Nutrition SNC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 Pet Products,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Hill's-Colgate (Japan)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HL Soap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HLP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Hopro Liquidating Corp.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Hygiene Systems et Services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Industrial Jabonera Ecuatoriana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Industrias Quimicas Associadas Multiquim, 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Inmobiliara Hills, S.A. de C.V.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Innovacion Creativa, S.A. de C.V.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Inter-Hamol,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Jigs Investments,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JG Soap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JGP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JPK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JP Soap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Kolynos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Kolynos do Brasil Ltda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Lournay Sales,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Mennen de Chile,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Mennen de Nicaragua,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Mennen Guatemala,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Mennen Interamerica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Mennen Investments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Mennen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Mennen Products (Pty)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Mennen South Africa,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Mission Hill's Property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Mission Hills, S.A. de C.V.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Multimint Leasing &amp; Finance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Newgrange Financial Services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Science,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Norwood International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Puerto Rico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Belgium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Zealand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Cayman Islands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Tunisia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Ecuador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Ecuador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Luxembourg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Cayman Islands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Cayman Islands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Guatemala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Africa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2">
            <w:col w:w="7240" w:space="720"/>
            <w:col w:w="2259"/>
          </w:cols>
          <w:pgMar w:left="240" w:top="461" w:right="1440" w:bottom="1440" w:gutter="0" w:footer="0" w:header="0"/>
          <w:type w:val="continuous"/>
        </w:sectPr>
      </w:pPr>
    </w:p>
    <w:bookmarkStart w:id="75" w:name="page76"/>
    <w:bookmarkEnd w:id="75"/>
    <w:p>
      <w:pPr>
        <w:ind w:left="6260"/>
        <w:spacing w:after="0"/>
        <w:rPr>
          <w:sz w:val="20"/>
          <w:szCs w:val="20"/>
          <w:color w:val="auto"/>
        </w:rPr>
      </w:pPr>
      <w:r>
        <w:rPr>
          <w:rFonts w:ascii="Courier New" w:cs="Courier New" w:eastAsia="Courier New" w:hAnsi="Courier New"/>
          <w:sz w:val="14"/>
          <w:szCs w:val="14"/>
          <w:color w:val="auto"/>
        </w:rPr>
        <w:t>EXHIBIT 21</w:t>
      </w:r>
    </w:p>
    <w:p>
      <w:pPr>
        <w:spacing w:after="0" w:line="13" w:lineRule="exact"/>
        <w:rPr>
          <w:sz w:val="20"/>
          <w:szCs w:val="20"/>
          <w:color w:val="auto"/>
        </w:rPr>
      </w:pPr>
    </w:p>
    <w:p>
      <w:pPr>
        <w:ind w:left="6160"/>
        <w:spacing w:after="0"/>
        <w:rPr>
          <w:sz w:val="20"/>
          <w:szCs w:val="20"/>
          <w:color w:val="auto"/>
        </w:rPr>
      </w:pPr>
      <w:r>
        <w:rPr>
          <w:rFonts w:ascii="Courier New" w:cs="Courier New" w:eastAsia="Courier New" w:hAnsi="Courier New"/>
          <w:sz w:val="14"/>
          <w:szCs w:val="14"/>
          <w:color w:val="auto"/>
        </w:rPr>
        <w:t>Page 6 of 6</w:t>
      </w:r>
    </w:p>
    <w:p>
      <w:pPr>
        <w:sectPr>
          <w:pgSz w:w="11900" w:h="16838" w:orient="portrait"/>
          <w:cols w:equalWidth="0" w:num="1">
            <w:col w:w="10219"/>
          </w:cols>
          <w:pgMar w:left="240" w:top="6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State in which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or Country</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which Organized</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6880" w:space="720"/>
            <w:col w:w="261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ODOL Sociedad Anonima Industrial y Commercial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Olive Music Publishing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Oraltech Company,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Palmolive (Guangzhou) Co.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Research,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Passion Trading &amp; Investment Co.,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Penny, LLC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 Chemicals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Polyana 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Princess House de Mexico, S.A. de C.V.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Productors Halogenados Copalven, C.A.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P.T. Colgate-Palmolive Indonesia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P.T. Hawley &amp; Hazel Indonesia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Purity Holding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Purity Music Publishing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Puterang Sdn Bhd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Refresh Company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SDBX,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Samuel Taylor Holdings B.V.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Siam Purity Distribution Co.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Siam Regal Co.,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Societe Generale de Negoce et de Services 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Societe Industriale de Bourbon, S.I.B.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Softsoap Enterprises,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Somerset Collections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Southhampton-Hamilton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Lournay Company,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Murphy-Phoenix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VCA,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Veterinary Companies of America,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Village Bath Products,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Vipont Pharmaceutical,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XEB,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ZAO Colgate-Palmolive (Russia)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Argentina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British Virgin Islands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Uruguay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Venezuela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Indonesia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Indonesia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Malaysia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Dominica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Thailand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Thailand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Tunisia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Reunion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Massachusetts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Massachusetts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Minnesota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Jersey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Russia</w:t>
      </w:r>
    </w:p>
    <w:p>
      <w:pPr>
        <w:sectPr>
          <w:pgSz w:w="11900" w:h="16838" w:orient="portrait"/>
          <w:cols w:equalWidth="0" w:num="2">
            <w:col w:w="7240" w:space="720"/>
            <w:col w:w="2259"/>
          </w:cols>
          <w:pgMar w:left="240" w:top="635" w:right="1440" w:bottom="1440" w:gutter="0" w:footer="0" w:header="0"/>
          <w:type w:val="continuous"/>
        </w:sectPr>
      </w:pPr>
    </w:p>
    <w:bookmarkStart w:id="76" w:name="page77"/>
    <w:bookmarkEnd w:id="76"/>
    <w:p>
      <w:pPr>
        <w:jc w:val="right"/>
        <w:ind w:right="3079"/>
        <w:spacing w:after="0"/>
        <w:rPr>
          <w:sz w:val="20"/>
          <w:szCs w:val="20"/>
          <w:color w:val="auto"/>
        </w:rPr>
      </w:pPr>
      <w:r>
        <w:rPr>
          <w:rFonts w:ascii="Courier New" w:cs="Courier New" w:eastAsia="Courier New" w:hAnsi="Courier New"/>
          <w:sz w:val="15"/>
          <w:szCs w:val="15"/>
          <w:color w:val="auto"/>
        </w:rPr>
        <w:t>EXHIBIT 23</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6" w:lineRule="exact"/>
        <w:rPr>
          <w:sz w:val="20"/>
          <w:szCs w:val="20"/>
          <w:color w:val="auto"/>
        </w:rPr>
      </w:pPr>
    </w:p>
    <w:p>
      <w:pPr>
        <w:ind w:right="3159" w:firstLine="179"/>
        <w:spacing w:after="0" w:line="260" w:lineRule="auto"/>
        <w:rPr>
          <w:sz w:val="20"/>
          <w:szCs w:val="20"/>
          <w:color w:val="auto"/>
        </w:rPr>
      </w:pPr>
      <w:r>
        <w:rPr>
          <w:rFonts w:ascii="Courier New" w:cs="Courier New" w:eastAsia="Courier New" w:hAnsi="Courier New"/>
          <w:sz w:val="14"/>
          <w:szCs w:val="14"/>
          <w:color w:val="auto"/>
        </w:rPr>
        <w:t>As independent public accountants, we hereby consent to the incorporation of our report, dated January 30, 2001, included in this Form 10-K, into the Company's previously filed Registration Statement File Nos. 2-76922, 2-96982, 33-17136, 33-27227, 33-34952, 33-15515, 33-48832, 33-48840, 33-58746, 33-61038,</w:t>
      </w:r>
    </w:p>
    <w:p>
      <w:pPr>
        <w:spacing w:after="0"/>
        <w:rPr>
          <w:sz w:val="20"/>
          <w:szCs w:val="20"/>
          <w:color w:val="auto"/>
        </w:rPr>
      </w:pPr>
      <w:r>
        <w:rPr>
          <w:rFonts w:ascii="Courier New" w:cs="Courier New" w:eastAsia="Courier New" w:hAnsi="Courier New"/>
          <w:sz w:val="15"/>
          <w:szCs w:val="15"/>
          <w:color w:val="auto"/>
        </w:rPr>
        <w:t>33-78424,33-58887, 33-58231, 33-64753, 333-38251, 333-45679, 333-79411 and 333-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33644.</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Arthur Andersen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28, 2001</w:t>
      </w:r>
    </w:p>
    <w:p>
      <w:pPr>
        <w:sectPr>
          <w:pgSz w:w="11900" w:h="16838" w:orient="portrait"/>
          <w:cols w:equalWidth="0" w:num="1">
            <w:col w:w="10219"/>
          </w:cols>
          <w:pgMar w:left="240" w:top="484" w:right="1440" w:bottom="1440" w:gutter="0" w:footer="0" w:header="0"/>
        </w:sectPr>
      </w:pPr>
    </w:p>
    <w:bookmarkStart w:id="77" w:name="page78"/>
    <w:bookmarkEnd w:id="77"/>
    <w:p>
      <w:pPr>
        <w:ind w:left="5720"/>
        <w:spacing w:after="0"/>
        <w:rPr>
          <w:sz w:val="20"/>
          <w:szCs w:val="20"/>
          <w:color w:val="auto"/>
        </w:rPr>
      </w:pPr>
      <w:r>
        <w:rPr>
          <w:rFonts w:ascii="Courier New" w:cs="Courier New" w:eastAsia="Courier New" w:hAnsi="Courier New"/>
          <w:sz w:val="15"/>
          <w:szCs w:val="15"/>
          <w:color w:val="auto"/>
        </w:rPr>
        <w:t>Exhibit 24</w:t>
      </w:r>
    </w:p>
    <w:p>
      <w:pPr>
        <w:spacing w:after="0" w:line="200" w:lineRule="exact"/>
        <w:rPr>
          <w:sz w:val="20"/>
          <w:szCs w:val="20"/>
          <w:color w:val="auto"/>
        </w:rPr>
      </w:pPr>
    </w:p>
    <w:p>
      <w:pPr>
        <w:spacing w:after="0" w:line="31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KNOW ALL MEN BY THESE PRESENTS:</w:t>
      </w:r>
    </w:p>
    <w:p>
      <w:pPr>
        <w:spacing w:after="0" w:line="348"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I, Jill K. Conway, do hereby make, constitute and appoint Andrew D. Hendry and Michele C. Mayes, and each of them, as my attorneys-in-fact and agents with full power of substitution for me and in my name, place and stead, in any and all capacities, to execute for me and on my behalf the Annual Report of Colgate-Palmolive Company on Form 10-K for the year ended December 31, 2000,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81" w:lineRule="exact"/>
        <w:rPr>
          <w:sz w:val="20"/>
          <w:szCs w:val="20"/>
          <w:color w:val="auto"/>
        </w:rPr>
      </w:pPr>
    </w:p>
    <w:p>
      <w:pPr>
        <w:ind w:right="3439" w:firstLine="1610"/>
        <w:spacing w:after="0"/>
        <w:rPr>
          <w:sz w:val="20"/>
          <w:szCs w:val="20"/>
          <w:color w:val="auto"/>
        </w:rPr>
      </w:pPr>
      <w:r>
        <w:rPr>
          <w:rFonts w:ascii="Courier New" w:cs="Courier New" w:eastAsia="Courier New" w:hAnsi="Courier New"/>
          <w:sz w:val="15"/>
          <w:szCs w:val="15"/>
          <w:color w:val="auto"/>
        </w:rPr>
        <w:t>In witness whereof, I have executed this Power of Attorney this 8th day of March, 2001.</w:t>
      </w:r>
    </w:p>
    <w:p>
      <w:pPr>
        <w:spacing w:after="0" w:line="17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 JILL K. CONWAY</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220"/>
        <w:spacing w:after="0"/>
        <w:tabs>
          <w:tab w:leader="none" w:pos="40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Jill K. Conway</w:t>
      </w:r>
    </w:p>
    <w:p>
      <w:pPr>
        <w:sectPr>
          <w:pgSz w:w="11900" w:h="16838" w:orient="portrait"/>
          <w:cols w:equalWidth="0" w:num="1">
            <w:col w:w="10219"/>
          </w:cols>
          <w:pgMar w:left="240" w:top="484" w:right="1440" w:bottom="1440" w:gutter="0" w:footer="0" w:header="0"/>
        </w:sectPr>
      </w:pPr>
    </w:p>
    <w:bookmarkStart w:id="78" w:name="page79"/>
    <w:bookmarkEnd w:id="78"/>
    <w:p>
      <w:pPr>
        <w:ind w:left="2760"/>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KNOW ALL MEN BY THESE PRESENTS:</w:t>
      </w:r>
    </w:p>
    <w:p>
      <w:pPr>
        <w:spacing w:after="0" w:line="348"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I, Ronald E. Ferguson, do hereby make, constitute and appoint Andrew D. Hendry and Michele C. Mayes, and each of them, as my attorneys-in-fact and agents with full power of substitution for me and in my name, place and stead, in any and all capacities, to execute for me and on my behalf the Annual Report of Colgate-Palmolive Company on Form 10-K for the year ended December 31, 2000,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81" w:lineRule="exact"/>
        <w:rPr>
          <w:sz w:val="20"/>
          <w:szCs w:val="20"/>
          <w:color w:val="auto"/>
        </w:rPr>
      </w:pPr>
    </w:p>
    <w:p>
      <w:pPr>
        <w:ind w:right="3439" w:firstLine="1610"/>
        <w:spacing w:after="0"/>
        <w:rPr>
          <w:sz w:val="20"/>
          <w:szCs w:val="20"/>
          <w:color w:val="auto"/>
        </w:rPr>
      </w:pPr>
      <w:r>
        <w:rPr>
          <w:rFonts w:ascii="Courier New" w:cs="Courier New" w:eastAsia="Courier New" w:hAnsi="Courier New"/>
          <w:sz w:val="15"/>
          <w:szCs w:val="15"/>
          <w:color w:val="auto"/>
        </w:rPr>
        <w:t>In witness whereof, I have executed this Power of Attorney this 8th day of March, 2001.</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/s/</w:t>
        <w:tab/>
        <w:t>RONALD E. FERGUSON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Ronald E. Ferguson</w:t>
      </w:r>
    </w:p>
    <w:p>
      <w:pPr>
        <w:sectPr>
          <w:pgSz w:w="11900" w:h="16838" w:orient="portrait"/>
          <w:cols w:equalWidth="0" w:num="2">
            <w:col w:w="3300" w:space="260"/>
            <w:col w:w="6659"/>
          </w:cols>
          <w:pgMar w:left="240" w:top="633" w:right="1440" w:bottom="1440" w:gutter="0" w:footer="0" w:header="0"/>
          <w:type w:val="continuous"/>
        </w:sectPr>
      </w:pPr>
    </w:p>
    <w:bookmarkStart w:id="79" w:name="page80"/>
    <w:bookmarkEnd w:id="79"/>
    <w:p>
      <w:pPr>
        <w:ind w:left="2760"/>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KNOW ALL MEN BY THESE PRESENTS:</w:t>
      </w:r>
    </w:p>
    <w:p>
      <w:pPr>
        <w:spacing w:after="0" w:line="348"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I, Ellen M. Hancock, do hereby make, constitute and appoint Andrew D. Hendry and Michele C. Mayes, and each of them, as my attorneys-in-fact and agents with full power of substitution for me and in my name, place and stead, in any and all capacities, to execute for me and on my behalf the Annual Report of Colgate-Palmolive Company on Form 10-K for the year ended December 31, 2000,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81" w:lineRule="exact"/>
        <w:rPr>
          <w:sz w:val="20"/>
          <w:szCs w:val="20"/>
          <w:color w:val="auto"/>
        </w:rPr>
      </w:pPr>
    </w:p>
    <w:p>
      <w:pPr>
        <w:ind w:right="3439" w:firstLine="1610"/>
        <w:spacing w:after="0"/>
        <w:rPr>
          <w:sz w:val="20"/>
          <w:szCs w:val="20"/>
          <w:color w:val="auto"/>
        </w:rPr>
      </w:pPr>
      <w:r>
        <w:rPr>
          <w:rFonts w:ascii="Courier New" w:cs="Courier New" w:eastAsia="Courier New" w:hAnsi="Courier New"/>
          <w:sz w:val="15"/>
          <w:szCs w:val="15"/>
          <w:color w:val="auto"/>
        </w:rPr>
        <w:t>In witness whereof, I have executed this Power of Attorney this 8th day of March, 2001.</w:t>
      </w:r>
    </w:p>
    <w:p>
      <w:pPr>
        <w:spacing w:after="0" w:line="174" w:lineRule="exact"/>
        <w:rPr>
          <w:sz w:val="20"/>
          <w:szCs w:val="20"/>
          <w:color w:val="auto"/>
        </w:rPr>
      </w:pPr>
    </w:p>
    <w:p>
      <w:pPr>
        <w:ind w:left="3920"/>
        <w:spacing w:after="0"/>
        <w:tabs>
          <w:tab w:leader="none" w:pos="454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ELLEN M. HANCOCK</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300"/>
        <w:spacing w:after="0"/>
        <w:tabs>
          <w:tab w:leader="none" w:pos="3900" w:val="left"/>
        </w:tabs>
        <w:rPr>
          <w:sz w:val="20"/>
          <w:szCs w:val="20"/>
          <w:color w:val="auto"/>
        </w:rPr>
      </w:pPr>
      <w:r>
        <w:rPr>
          <w:rFonts w:ascii="Courier New" w:cs="Courier New" w:eastAsia="Courier New" w:hAnsi="Courier New"/>
          <w:sz w:val="15"/>
          <w:szCs w:val="15"/>
          <w:color w:val="auto"/>
        </w:rPr>
        <w:t>Name:</w:t>
        <w:tab/>
        <w:t>Ellen M. Hancock</w:t>
      </w:r>
    </w:p>
    <w:p>
      <w:pPr>
        <w:sectPr>
          <w:pgSz w:w="11900" w:h="16838" w:orient="portrait"/>
          <w:cols w:equalWidth="0" w:num="1">
            <w:col w:w="10219"/>
          </w:cols>
          <w:pgMar w:left="240" w:top="633" w:right="1440" w:bottom="1440" w:gutter="0" w:footer="0" w:header="0"/>
        </w:sectPr>
      </w:pPr>
    </w:p>
    <w:bookmarkStart w:id="80" w:name="page81"/>
    <w:bookmarkEnd w:id="80"/>
    <w:p>
      <w:pPr>
        <w:ind w:left="2760"/>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KNOW ALL MEN BY THESE PRESENTS:</w:t>
      </w:r>
    </w:p>
    <w:p>
      <w:pPr>
        <w:spacing w:after="0" w:line="348"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I, David W. Johnson, do hereby make, constitute and appoint Andrew D. Hendry and Michele C. Mayes, and each of them, as my attorneys-in-fact and agents with full power of substitution for me and in my name, place and stead, in any and all capacities, to execute for me and on my behalf the Annual Report of Colgate-Palmolive Company on Form 10-K for the year ended December 31, 2000,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81" w:lineRule="exact"/>
        <w:rPr>
          <w:sz w:val="20"/>
          <w:szCs w:val="20"/>
          <w:color w:val="auto"/>
        </w:rPr>
      </w:pPr>
    </w:p>
    <w:p>
      <w:pPr>
        <w:ind w:right="3439" w:firstLine="1610"/>
        <w:spacing w:after="0"/>
        <w:rPr>
          <w:sz w:val="20"/>
          <w:szCs w:val="20"/>
          <w:color w:val="auto"/>
        </w:rPr>
      </w:pPr>
      <w:r>
        <w:rPr>
          <w:rFonts w:ascii="Courier New" w:cs="Courier New" w:eastAsia="Courier New" w:hAnsi="Courier New"/>
          <w:sz w:val="15"/>
          <w:szCs w:val="15"/>
          <w:color w:val="auto"/>
        </w:rPr>
        <w:t>In witness whereof, I have executed this Power of Attorney this 8th day of March, 2001.</w:t>
      </w:r>
    </w:p>
    <w:p>
      <w:pPr>
        <w:spacing w:after="0" w:line="174"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/s/ DAVID W. JOHNSON</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tabs>
          <w:tab w:leader="none" w:pos="41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David W. Johnson</w:t>
      </w:r>
    </w:p>
    <w:p>
      <w:pPr>
        <w:sectPr>
          <w:pgSz w:w="11900" w:h="16838" w:orient="portrait"/>
          <w:cols w:equalWidth="0" w:num="1">
            <w:col w:w="10219"/>
          </w:cols>
          <w:pgMar w:left="240" w:top="633" w:right="1440" w:bottom="1440" w:gutter="0" w:footer="0" w:header="0"/>
        </w:sectPr>
      </w:pPr>
    </w:p>
    <w:bookmarkStart w:id="81" w:name="page82"/>
    <w:bookmarkEnd w:id="81"/>
    <w:p>
      <w:pPr>
        <w:ind w:left="2760"/>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KNOW ALL MEN BY THESE PRESENTS:</w:t>
      </w:r>
    </w:p>
    <w:p>
      <w:pPr>
        <w:spacing w:after="0" w:line="348"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I, John P. Kendall, do hereby make, constitute and appoint Andrew D. Hendry and Michele C. Mayes, and each of them, as my attorneys-in-fact and agents with full power of substitution for me and in my name, place and stead, in any and all capacities, to execute for me and on my behalf the Annual Report of Colgate-Palmolive Company on Form 10-K for the year ended December 31, 2000,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81" w:lineRule="exact"/>
        <w:rPr>
          <w:sz w:val="20"/>
          <w:szCs w:val="20"/>
          <w:color w:val="auto"/>
        </w:rPr>
      </w:pPr>
    </w:p>
    <w:p>
      <w:pPr>
        <w:ind w:right="3439" w:firstLine="1610"/>
        <w:spacing w:after="0"/>
        <w:rPr>
          <w:sz w:val="20"/>
          <w:szCs w:val="20"/>
          <w:color w:val="auto"/>
        </w:rPr>
      </w:pPr>
      <w:r>
        <w:rPr>
          <w:rFonts w:ascii="Courier New" w:cs="Courier New" w:eastAsia="Courier New" w:hAnsi="Courier New"/>
          <w:sz w:val="15"/>
          <w:szCs w:val="15"/>
          <w:color w:val="auto"/>
        </w:rPr>
        <w:t>In witness whereof, I have executed this Power of Attorney this 8th day of March, 2001.</w:t>
      </w:r>
    </w:p>
    <w:p>
      <w:pPr>
        <w:spacing w:after="0" w:line="174" w:lineRule="exact"/>
        <w:rPr>
          <w:sz w:val="20"/>
          <w:szCs w:val="20"/>
          <w:color w:val="auto"/>
        </w:rPr>
      </w:pPr>
    </w:p>
    <w:p>
      <w:pPr>
        <w:ind w:left="4380"/>
        <w:spacing w:after="0"/>
        <w:tabs>
          <w:tab w:leader="none" w:pos="480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JOHN P. KENDALL</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tabs>
          <w:tab w:leader="none" w:pos="4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John P. Kendall</w:t>
      </w:r>
    </w:p>
    <w:p>
      <w:pPr>
        <w:sectPr>
          <w:pgSz w:w="11900" w:h="16838" w:orient="portrait"/>
          <w:cols w:equalWidth="0" w:num="1">
            <w:col w:w="10219"/>
          </w:cols>
          <w:pgMar w:left="240" w:top="633" w:right="1440" w:bottom="1440" w:gutter="0" w:footer="0" w:header="0"/>
        </w:sectPr>
      </w:pPr>
    </w:p>
    <w:bookmarkStart w:id="82" w:name="page83"/>
    <w:bookmarkEnd w:id="82"/>
    <w:p>
      <w:pPr>
        <w:ind w:left="2760"/>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KNOW ALL MEN BY THESE PRESENTS:</w:t>
      </w:r>
    </w:p>
    <w:p>
      <w:pPr>
        <w:spacing w:after="0" w:line="348"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I, Richard J. Kogan, do hereby make, constitute and appoint Andrew D. Hendry and Michele C. Mayes, and each of them, as my attorneys-in-fact and agents with full power of substitution for me and in my name, place and stead, in any and all capacities, to execute for me and on my behalf the Annual Report of Colgate-Palmolive Company on Form 10-K for the year ended December 31, 2000,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81" w:lineRule="exact"/>
        <w:rPr>
          <w:sz w:val="20"/>
          <w:szCs w:val="20"/>
          <w:color w:val="auto"/>
        </w:rPr>
      </w:pPr>
    </w:p>
    <w:p>
      <w:pPr>
        <w:ind w:right="3439" w:firstLine="1610"/>
        <w:spacing w:after="0"/>
        <w:rPr>
          <w:sz w:val="20"/>
          <w:szCs w:val="20"/>
          <w:color w:val="auto"/>
        </w:rPr>
      </w:pPr>
      <w:r>
        <w:rPr>
          <w:rFonts w:ascii="Courier New" w:cs="Courier New" w:eastAsia="Courier New" w:hAnsi="Courier New"/>
          <w:sz w:val="15"/>
          <w:szCs w:val="15"/>
          <w:color w:val="auto"/>
        </w:rPr>
        <w:t>In witness whereof, I have executed this Power of Attorney this 8th day of March, 2001.</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RICHARD J. KOGAN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Richard J. Kogan</w:t>
      </w:r>
    </w:p>
    <w:p>
      <w:pPr>
        <w:sectPr>
          <w:pgSz w:w="11900" w:h="16838" w:orient="portrait"/>
          <w:cols w:equalWidth="0" w:num="2">
            <w:col w:w="4200" w:space="180"/>
            <w:col w:w="5839"/>
          </w:cols>
          <w:pgMar w:left="240" w:top="633" w:right="1440" w:bottom="1440" w:gutter="0" w:footer="0" w:header="0"/>
          <w:type w:val="continuous"/>
        </w:sectPr>
      </w:pPr>
    </w:p>
    <w:bookmarkStart w:id="83" w:name="page84"/>
    <w:bookmarkEnd w:id="83"/>
    <w:p>
      <w:pPr>
        <w:ind w:left="2760"/>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KNOW ALL MEN BY THESE PRESENTS:</w:t>
      </w:r>
    </w:p>
    <w:p>
      <w:pPr>
        <w:spacing w:after="0" w:line="348"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I, Howard B. Wentz, Jr., do hereby make, constitute and appoint Andrew D. Hendry and Michele C. Mayes, and each of them, as my attorneys-in-fact and agents with full power of substitution for me and in my name, place and stead, in any and all capacities, to execute for me and on my behalf the Annual Report of Colgate-Palmolive Company on Form 10-K for the year ended December 31, 2000,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81" w:lineRule="exact"/>
        <w:rPr>
          <w:sz w:val="20"/>
          <w:szCs w:val="20"/>
          <w:color w:val="auto"/>
        </w:rPr>
      </w:pPr>
    </w:p>
    <w:p>
      <w:pPr>
        <w:ind w:right="3439" w:firstLine="1610"/>
        <w:spacing w:after="0"/>
        <w:rPr>
          <w:sz w:val="20"/>
          <w:szCs w:val="20"/>
          <w:color w:val="auto"/>
        </w:rPr>
      </w:pPr>
      <w:r>
        <w:rPr>
          <w:rFonts w:ascii="Courier New" w:cs="Courier New" w:eastAsia="Courier New" w:hAnsi="Courier New"/>
          <w:sz w:val="15"/>
          <w:szCs w:val="15"/>
          <w:color w:val="auto"/>
        </w:rPr>
        <w:t>In witness whereof, I have executed this Power of Attorney this 8th day of March, 2001.</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HOWARD B. WENTZ, JR.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Howard B. Wentz, Jr.</w:t>
      </w:r>
    </w:p>
    <w:p>
      <w:pPr>
        <w:sectPr>
          <w:pgSz w:w="11900" w:h="16838" w:orient="portrait"/>
          <w:cols w:equalWidth="0" w:num="2">
            <w:col w:w="4380" w:space="80"/>
            <w:col w:w="5759"/>
          </w:cols>
          <w:pgMar w:left="240" w:top="633" w:right="1440" w:bottom="1440" w:gutter="0" w:footer="0" w:header="0"/>
          <w:type w:val="continuous"/>
        </w:sectPr>
      </w:pPr>
    </w:p>
    <w:bookmarkStart w:id="84" w:name="page85"/>
    <w:bookmarkEnd w:id="84"/>
    <w:p>
      <w:pPr>
        <w:ind w:left="2760"/>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KNOW ALL MEN BY THESE PRESENTS:</w:t>
      </w:r>
    </w:p>
    <w:p>
      <w:pPr>
        <w:spacing w:after="0" w:line="348"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I, Reuben Mark, do hereby make, constitute and appoint Andrew D. Hendry and Michele C. Mayes, and each of them, as my attorneys-in-fact and agents with full power of substitution for me and in my name, place and stead, in any and all capacities, to execute for me and on my behalf the Annual Report of Colgate-Palmolive Company on Form 10-K for the year ended December 31, 2000,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81" w:lineRule="exact"/>
        <w:rPr>
          <w:sz w:val="20"/>
          <w:szCs w:val="20"/>
          <w:color w:val="auto"/>
        </w:rPr>
      </w:pPr>
    </w:p>
    <w:p>
      <w:pPr>
        <w:ind w:right="3439" w:firstLine="1610"/>
        <w:spacing w:after="0"/>
        <w:rPr>
          <w:sz w:val="20"/>
          <w:szCs w:val="20"/>
          <w:color w:val="auto"/>
        </w:rPr>
      </w:pPr>
      <w:r>
        <w:rPr>
          <w:rFonts w:ascii="Courier New" w:cs="Courier New" w:eastAsia="Courier New" w:hAnsi="Courier New"/>
          <w:sz w:val="15"/>
          <w:szCs w:val="15"/>
          <w:color w:val="auto"/>
        </w:rPr>
        <w:t>In witness whereof, I have executed this Power of Attorney this 8th day of March, 2001.</w:t>
      </w:r>
    </w:p>
    <w:p>
      <w:pPr>
        <w:spacing w:after="0" w:line="174" w:lineRule="exact"/>
        <w:rPr>
          <w:sz w:val="20"/>
          <w:szCs w:val="20"/>
          <w:color w:val="auto"/>
        </w:rPr>
      </w:pPr>
    </w:p>
    <w:p>
      <w:pPr>
        <w:ind w:left="4380"/>
        <w:spacing w:after="0"/>
        <w:tabs>
          <w:tab w:leader="none" w:pos="490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REUBEN MARK</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tabs>
          <w:tab w:leader="none" w:pos="4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Reuben Mark</w:t>
      </w:r>
    </w:p>
    <w:sectPr>
      <w:pgSz w:w="11900" w:h="16838" w:orient="portrait"/>
      <w:cols w:equalWidth="0" w:num="1">
        <w:col w:w="10219"/>
      </w:cols>
      <w:pgMar w:left="240" w:top="6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upperLetter"/>
      <w:start w:val="24"/>
    </w:lvl>
  </w:abstractNum>
  <w:abstractNum w:abstractNumId="1">
    <w:nsid w:val="6CEAF087"/>
    <w:multiLevelType w:val="hybridMultilevel"/>
    <w:lvl w:ilvl="0">
      <w:lvlJc w:val="left"/>
      <w:lvlText w:val="(%1)"/>
      <w:numFmt w:val="lowerLetter"/>
      <w:start w:val="4"/>
    </w:lvl>
  </w:abstractNum>
  <w:abstractNum w:abstractNumId="2">
    <w:nsid w:val="22221A70"/>
    <w:multiLevelType w:val="hybridMultilevel"/>
    <w:lvl w:ilvl="0">
      <w:lvlJc w:val="left"/>
      <w:lvlText w:val="(%1)"/>
      <w:numFmt w:val="lowerLetter"/>
      <w:start w:val="1"/>
    </w:lvl>
  </w:abstractNum>
  <w:abstractNum w:abstractNumId="3">
    <w:nsid w:val="4516DDE9"/>
    <w:multiLevelType w:val="hybridMultilevel"/>
    <w:lvl w:ilvl="0">
      <w:lvlJc w:val="left"/>
      <w:lvlText w:val="(%1)"/>
      <w:numFmt w:val="lowerLetter"/>
      <w:start w:val="2"/>
    </w:lvl>
  </w:abstractNum>
  <w:abstractNum w:abstractNumId="4">
    <w:nsid w:val="3006C83E"/>
    <w:multiLevelType w:val="hybridMultilevel"/>
    <w:lvl w:ilvl="0">
      <w:lvlJc w:val="left"/>
      <w:lvlText w:val="%1."/>
      <w:numFmt w:val="decimal"/>
      <w:start w:val="2"/>
    </w:lvl>
  </w:abstractNum>
  <w:abstractNum w:abstractNumId="5">
    <w:nsid w:val="614FD4A1"/>
    <w:multiLevelType w:val="hybridMultilevel"/>
    <w:lvl w:ilvl="0">
      <w:lvlJc w:val="left"/>
      <w:lvlText w:val="%1."/>
      <w:numFmt w:val="decimal"/>
      <w:start w:val="5"/>
    </w:lvl>
  </w:abstractNum>
  <w:abstractNum w:abstractNumId="6">
    <w:nsid w:val="419AC241"/>
    <w:multiLevelType w:val="hybridMultilevel"/>
    <w:lvl w:ilvl="0">
      <w:lvlJc w:val="left"/>
      <w:lvlText w:val="%1."/>
      <w:numFmt w:val="decimal"/>
      <w:start w:val="7"/>
    </w:lvl>
  </w:abstractNum>
  <w:abstractNum w:abstractNumId="7">
    <w:nsid w:val="5577F8E1"/>
    <w:multiLevelType w:val="hybridMultilevel"/>
    <w:lvl w:ilvl="0">
      <w:lvlJc w:val="left"/>
      <w:lvlText w:val="(%1)"/>
      <w:numFmt w:val="lowerLetter"/>
      <w:start w:val="2"/>
    </w:lvl>
  </w:abstractNum>
  <w:abstractNum w:abstractNumId="8">
    <w:nsid w:val="440BADFC"/>
    <w:multiLevelType w:val="hybridMultilevel"/>
    <w:lvl w:ilvl="0">
      <w:lvlJc w:val="left"/>
      <w:lvlText w:val="(%1)"/>
      <w:numFmt w:val="lowerLetter"/>
      <w:start w:val="2"/>
    </w:lvl>
  </w:abstractNum>
  <w:abstractNum w:abstractNumId="9">
    <w:nsid w:val="5072367"/>
    <w:multiLevelType w:val="hybridMultilevel"/>
    <w:lvl w:ilvl="0">
      <w:lvlJc w:val="left"/>
      <w:lvlText w:val="(%1)"/>
      <w:numFmt w:val="lowerLetter"/>
      <w:start w:val="2"/>
    </w:lvl>
  </w:abstractNum>
  <w:abstractNum w:abstractNumId="10">
    <w:nsid w:val="3804823E"/>
    <w:multiLevelType w:val="hybridMultilevel"/>
    <w:lvl w:ilvl="0">
      <w:lvlJc w:val="left"/>
      <w:lvlText w:val="(%1)"/>
      <w:numFmt w:val="lowerLetter"/>
      <w:start w:val="2"/>
    </w:lvl>
  </w:abstractNum>
  <w:abstractNum w:abstractNumId="11">
    <w:nsid w:val="77465F01"/>
    <w:multiLevelType w:val="hybridMultilevel"/>
    <w:lvl w:ilvl="0">
      <w:lvlJc w:val="left"/>
      <w:lvlText w:val="(%1)"/>
      <w:numFmt w:val="lowerLetter"/>
      <w:start w:val="2"/>
    </w:lvl>
  </w:abstractNum>
  <w:abstractNum w:abstractNumId="12">
    <w:nsid w:val="7724C67E"/>
    <w:multiLevelType w:val="hybridMultilevel"/>
    <w:lvl w:ilvl="0">
      <w:lvlJc w:val="left"/>
      <w:lvlText w:val="(%1)"/>
      <w:numFmt w:val="lowerLetter"/>
      <w:start w:val="2"/>
    </w:lvl>
  </w:abstractNum>
  <w:abstractNum w:abstractNumId="13">
    <w:nsid w:val="5C482A97"/>
    <w:multiLevelType w:val="hybridMultilevel"/>
    <w:lvl w:ilvl="0">
      <w:lvlJc w:val="left"/>
      <w:lvlText w:val="%1"/>
      <w:numFmt w:val="decimal"/>
      <w:start w:val="12"/>
    </w:lvl>
  </w:abstractNum>
  <w:abstractNum w:abstractNumId="14">
    <w:nsid w:val="2463B9EA"/>
    <w:multiLevelType w:val="hybridMultilevel"/>
    <w:lvl w:ilvl="0">
      <w:lvlJc w:val="left"/>
      <w:lvlText w:val="%1"/>
      <w:numFmt w:val="decimal"/>
      <w:start w:val="21"/>
    </w:lvl>
  </w:abstractNum>
  <w:abstractNum w:abstractNumId="15">
    <w:nsid w:val="5E884ADC"/>
    <w:multiLevelType w:val="hybridMultilevel"/>
    <w:lvl w:ilvl="0">
      <w:lvlJc w:val="left"/>
      <w:lvlText w:val="%1"/>
      <w:numFmt w:val="decimal"/>
      <w:start w:val="23"/>
    </w:lvl>
  </w:abstractNum>
  <w:abstractNum w:abstractNumId="16">
    <w:nsid w:val="51EAD36B"/>
    <w:multiLevelType w:val="hybridMultilevel"/>
    <w:lvl w:ilvl="0">
      <w:lvlJc w:val="left"/>
      <w:lvlText w:val="-"/>
      <w:numFmt w:val="bullet"/>
      <w:start w:val="1"/>
    </w:lvl>
    <w:lvl w:ilvl="1">
      <w:lvlJc w:val="left"/>
      <w:lvlText w:val="%2"/>
      <w:numFmt w:val="decimal"/>
      <w:start w:val="24"/>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decimal"/>
      <w:start w:val="2"/>
    </w:lvl>
  </w:abstractNum>
  <w:abstractNum w:abstractNumId="20">
    <w:nsid w:val="3855585C"/>
    <w:multiLevelType w:val="hybridMultilevel"/>
    <w:lvl w:ilvl="0">
      <w:lvlJc w:val="left"/>
      <w:lvlText w:val="%1."/>
      <w:numFmt w:val="decimal"/>
      <w:start w:val="3"/>
    </w:lvl>
  </w:abstractNum>
  <w:abstractNum w:abstractNumId="21">
    <w:nsid w:val="70A64E2A"/>
    <w:multiLevelType w:val="hybridMultilevel"/>
    <w:lvl w:ilvl="0">
      <w:lvlJc w:val="left"/>
      <w:lvlText w:val="%1."/>
      <w:numFmt w:val="decimal"/>
      <w:start w:val="8"/>
    </w:lvl>
  </w:abstractNum>
  <w:abstractNum w:abstractNumId="22">
    <w:nsid w:val="6A2342EC"/>
    <w:multiLevelType w:val="hybridMultilevel"/>
    <w:lvl w:ilvl="0">
      <w:lvlJc w:val="left"/>
      <w:lvlText w:val="(%1)"/>
      <w:numFmt w:val="upperLetter"/>
      <w:start w:val="2"/>
    </w:lvl>
  </w:abstractNum>
  <w:abstractNum w:abstractNumId="23">
    <w:nsid w:val="2A487CB0"/>
    <w:multiLevelType w:val="hybridMultilevel"/>
    <w:lvl w:ilvl="0">
      <w:lvlJc w:val="left"/>
      <w:lvlText w:val="(%1)"/>
      <w:numFmt w:val="decimal"/>
      <w:start w:val="2"/>
    </w:lvl>
    <w:lvl w:ilvl="1">
      <w:lvlJc w:val="left"/>
      <w:lvlText w:val="(%2)"/>
      <w:numFmt w:val="upperLetter"/>
      <w:start w:val="3"/>
    </w:lvl>
  </w:abstractNum>
  <w:abstractNum w:abstractNumId="24">
    <w:nsid w:val="1D4ED43B"/>
    <w:multiLevelType w:val="hybridMultilevel"/>
    <w:lvl w:ilvl="0">
      <w:lvlJc w:val="left"/>
      <w:lvlText w:val="(%1)"/>
      <w:numFmt w:val="decimal"/>
      <w:start w:val="2"/>
    </w:lvl>
  </w:abstractNum>
  <w:abstractNum w:abstractNumId="25">
    <w:nsid w:val="725A06FB"/>
    <w:multiLevelType w:val="hybridMultilevel"/>
    <w:lvl w:ilvl="0">
      <w:lvlJc w:val="left"/>
      <w:lvlText w:val="(%1)"/>
      <w:numFmt w:val="decimal"/>
      <w:start w:val="3"/>
    </w:lvl>
  </w:abstractNum>
  <w:abstractNum w:abstractNumId="26">
    <w:nsid w:val="2CD89A32"/>
    <w:multiLevelType w:val="hybridMultilevel"/>
    <w:lvl w:ilvl="0">
      <w:lvlJc w:val="left"/>
      <w:lvlText w:val="%1."/>
      <w:numFmt w:val="decimal"/>
      <w:start w:val="9"/>
    </w:lvl>
  </w:abstractNum>
  <w:abstractNum w:abstractNumId="27">
    <w:nsid w:val="57E4CCAF"/>
    <w:multiLevelType w:val="hybridMultilevel"/>
    <w:lvl w:ilvl="0">
      <w:lvlJc w:val="left"/>
      <w:lvlText w:val="%1."/>
      <w:numFmt w:val="decimal"/>
      <w:start w:val="12"/>
    </w:lvl>
  </w:abstractNum>
  <w:abstractNum w:abstractNumId="28">
    <w:nsid w:val="7A6D8D3C"/>
    <w:multiLevelType w:val="hybridMultilevel"/>
    <w:lvl w:ilvl="0">
      <w:lvlJc w:val="left"/>
      <w:lvlText w:val="%1."/>
      <w:numFmt w:val="decimal"/>
      <w:start w:val="13"/>
    </w:lvl>
  </w:abstractNum>
  <w:abstractNum w:abstractNumId="29">
    <w:nsid w:val="4B588F54"/>
    <w:multiLevelType w:val="hybridMultilevel"/>
    <w:lvl w:ilvl="0">
      <w:lvlJc w:val="left"/>
      <w:lvlText w:val="(%1)"/>
      <w:numFmt w:val="upperLetter"/>
      <w:start w:val="2"/>
    </w:lvl>
  </w:abstractNum>
  <w:abstractNum w:abstractNumId="30">
    <w:nsid w:val="542289EC"/>
    <w:multiLevelType w:val="hybridMultilevel"/>
    <w:lvl w:ilvl="0">
      <w:lvlJc w:val="left"/>
      <w:lvlText w:val="%1."/>
      <w:numFmt w:val="decimal"/>
      <w:start w:val="14"/>
    </w:lvl>
  </w:abstractNum>
  <w:abstractNum w:abstractNumId="31">
    <w:nsid w:val="6DE91B18"/>
    <w:multiLevelType w:val="hybridMultilevel"/>
    <w:lvl w:ilvl="0">
      <w:lvlJc w:val="left"/>
      <w:lvlText w:val="%1."/>
      <w:numFmt w:val="decimal"/>
      <w:start w:val="16"/>
    </w:lvl>
  </w:abstractNum>
  <w:abstractNum w:abstractNumId="32">
    <w:nsid w:val="38437FDB"/>
    <w:multiLevelType w:val="hybridMultilevel"/>
    <w:lvl w:ilvl="0">
      <w:lvlJc w:val="left"/>
      <w:lvlText w:val="%1."/>
      <w:numFmt w:val="decimal"/>
      <w:start w:val="21"/>
    </w:lvl>
  </w:abstractNum>
  <w:abstractNum w:abstractNumId="33">
    <w:nsid w:val="7644A45C"/>
    <w:multiLevelType w:val="hybridMultilevel"/>
    <w:lvl w:ilvl="0">
      <w:lvlJc w:val="left"/>
      <w:lvlText w:val="%1."/>
      <w:numFmt w:val="decimal"/>
      <w:start w:val="29"/>
    </w:lvl>
  </w:abstractNum>
  <w:abstractNum w:abstractNumId="34">
    <w:nsid w:val="32FFF902"/>
    <w:multiLevelType w:val="hybridMultilevel"/>
    <w:lvl w:ilvl="0">
      <w:lvlJc w:val="left"/>
      <w:lvlText w:val="%1."/>
      <w:numFmt w:val="decimal"/>
      <w:start w:val="31"/>
    </w:lvl>
  </w:abstractNum>
  <w:abstractNum w:abstractNumId="35">
    <w:nsid w:val="684A481A"/>
    <w:multiLevelType w:val="hybridMultilevel"/>
    <w:lvl w:ilvl="0">
      <w:lvlJc w:val="left"/>
      <w:lvlText w:val="%1."/>
      <w:numFmt w:val="decimal"/>
      <w:start w:val="35"/>
    </w:lvl>
  </w:abstractNum>
  <w:abstractNum w:abstractNumId="36">
    <w:nsid w:val="579478FE"/>
    <w:multiLevelType w:val="hybridMultilevel"/>
    <w:lvl w:ilvl="0">
      <w:lvlJc w:val="left"/>
      <w:lvlText w:val="%1."/>
      <w:numFmt w:val="decimal"/>
      <w:start w:val="37"/>
    </w:lvl>
  </w:abstractNum>
  <w:abstractNum w:abstractNumId="37">
    <w:nsid w:val="749ABB43"/>
    <w:multiLevelType w:val="hybridMultilevel"/>
    <w:lvl w:ilvl="0">
      <w:lvlJc w:val="left"/>
      <w:lvlText w:val="%1."/>
      <w:numFmt w:val="decimal"/>
      <w:start w:val="39"/>
    </w:lvl>
  </w:abstractNum>
  <w:abstractNum w:abstractNumId="38">
    <w:nsid w:val="3DC240FB"/>
    <w:multiLevelType w:val="hybridMultilevel"/>
    <w:lvl w:ilvl="0">
      <w:lvlJc w:val="left"/>
      <w:lvlText w:val="%1."/>
      <w:numFmt w:val="decimal"/>
      <w:start w:val="40"/>
    </w:lvl>
  </w:abstractNum>
  <w:abstractNum w:abstractNumId="39">
    <w:nsid w:val="1BA026FA"/>
    <w:multiLevelType w:val="hybridMultilevel"/>
    <w:lvl w:ilvl="0">
      <w:lvlJc w:val="left"/>
      <w:lvlText w:val="%1."/>
      <w:numFmt w:val="decimal"/>
      <w:start w:val="41"/>
    </w:lvl>
  </w:abstractNum>
  <w:abstractNum w:abstractNumId="40">
    <w:nsid w:val="79A1DEAA"/>
    <w:multiLevelType w:val="hybridMultilevel"/>
    <w:lvl w:ilvl="0">
      <w:lvlJc w:val="left"/>
      <w:lvlText w:val="%1."/>
      <w:numFmt w:val="decimal"/>
      <w:start w:val="42"/>
    </w:lvl>
  </w:abstractNum>
  <w:abstractNum w:abstractNumId="41">
    <w:nsid w:val="75C6C33A"/>
    <w:multiLevelType w:val="hybridMultilevel"/>
    <w:lvl w:ilvl="0">
      <w:lvlJc w:val="left"/>
      <w:lvlText w:val="%1."/>
      <w:numFmt w:val="decimal"/>
      <w:start w:val="43"/>
    </w:lvl>
  </w:abstractNum>
  <w:abstractNum w:abstractNumId="42">
    <w:nsid w:val="12E685FB"/>
    <w:multiLevelType w:val="hybridMultilevel"/>
    <w:lvl w:ilvl="0">
      <w:lvlJc w:val="left"/>
      <w:lvlText w:val="%1."/>
      <w:numFmt w:val="decimal"/>
      <w:start w:val="45"/>
    </w:lvl>
    <w:lvl w:ilvl="1">
      <w:lvlJc w:val="left"/>
      <w:lvlText w:val="(%2)"/>
      <w:numFmt w:val="lowerLetter"/>
      <w:start w:val="2"/>
    </w:lvl>
  </w:abstractNum>
  <w:abstractNum w:abstractNumId="43">
    <w:nsid w:val="70C6A529"/>
    <w:multiLevelType w:val="hybridMultilevel"/>
    <w:lvl w:ilvl="0">
      <w:lvlJc w:val="left"/>
      <w:lvlText w:val="%1."/>
      <w:numFmt w:val="decimal"/>
      <w:start w:val="46"/>
    </w:lvl>
    <w:lvl w:ilvl="1">
      <w:lvlJc w:val="left"/>
      <w:lvlText w:val="(%2)"/>
      <w:numFmt w:val="lowerLetter"/>
      <w:start w:val="2"/>
    </w:lvl>
  </w:abstractNum>
  <w:abstractNum w:abstractNumId="44">
    <w:nsid w:val="520EEDD1"/>
    <w:multiLevelType w:val="hybridMultilevel"/>
    <w:lvl w:ilvl="0">
      <w:lvlJc w:val="left"/>
      <w:lvlText w:val="%1."/>
      <w:numFmt w:val="decimal"/>
      <w:start w:val="47"/>
    </w:lvl>
  </w:abstractNum>
  <w:abstractNum w:abstractNumId="45">
    <w:nsid w:val="374A3FE6"/>
    <w:multiLevelType w:val="hybridMultilevel"/>
    <w:lvl w:ilvl="0">
      <w:lvlJc w:val="left"/>
      <w:lvlText w:val="%1."/>
      <w:numFmt w:val="decimal"/>
      <w:start w:val="48"/>
    </w:lvl>
  </w:abstractNum>
  <w:abstractNum w:abstractNumId="46">
    <w:nsid w:val="4F4EF005"/>
    <w:multiLevelType w:val="hybridMultilevel"/>
    <w:lvl w:ilvl="0">
      <w:lvlJc w:val="left"/>
      <w:lvlText w:val="%1."/>
      <w:numFmt w:val="decimal"/>
      <w:start w:val="49"/>
    </w:lvl>
  </w:abstractNum>
  <w:abstractNum w:abstractNumId="47">
    <w:nsid w:val="23F9C13C"/>
    <w:multiLevelType w:val="hybridMultilevel"/>
    <w:lvl w:ilvl="0">
      <w:lvlJc w:val="left"/>
      <w:lvlText w:val="%1."/>
      <w:numFmt w:val="decimal"/>
      <w:start w:val="50"/>
    </w:lvl>
  </w:abstractNum>
  <w:abstractNum w:abstractNumId="48">
    <w:nsid w:val="649BB77C"/>
    <w:multiLevelType w:val="hybridMultilevel"/>
    <w:lvl w:ilvl="0">
      <w:lvlJc w:val="left"/>
      <w:lvlText w:val="%1."/>
      <w:numFmt w:val="decimal"/>
      <w:start w:val="51"/>
    </w:lvl>
  </w:abstractNum>
  <w:abstractNum w:abstractNumId="49">
    <w:nsid w:val="275AC794"/>
    <w:multiLevelType w:val="hybridMultilevel"/>
    <w:lvl w:ilvl="0">
      <w:lvlJc w:val="left"/>
      <w:lvlText w:val="%1."/>
      <w:numFmt w:val="decimal"/>
      <w:start w:val="52"/>
    </w:lvl>
  </w:abstractNum>
  <w:abstractNum w:abstractNumId="50">
    <w:nsid w:val="39386575"/>
    <w:multiLevelType w:val="hybridMultilevel"/>
    <w:lvl w:ilvl="0">
      <w:lvlJc w:val="left"/>
      <w:lvlText w:val="%1."/>
      <w:numFmt w:val="decimal"/>
      <w:start w:val="53"/>
    </w:lvl>
  </w:abstractNum>
  <w:abstractNum w:abstractNumId="51">
    <w:nsid w:val="1CF10FD8"/>
    <w:multiLevelType w:val="hybridMultilevel"/>
    <w:lvl w:ilvl="0">
      <w:lvlJc w:val="left"/>
      <w:lvlText w:val="%1."/>
      <w:numFmt w:val="decimal"/>
      <w:start w:val="54"/>
    </w:lvl>
  </w:abstractNum>
  <w:abstractNum w:abstractNumId="52">
    <w:nsid w:val="180115BE"/>
    <w:multiLevelType w:val="hybridMultilevel"/>
    <w:lvl w:ilvl="0">
      <w:lvlJc w:val="left"/>
      <w:lvlText w:val="%1."/>
      <w:numFmt w:val="decimal"/>
      <w:start w:val="55"/>
    </w:lvl>
  </w:abstractNum>
  <w:abstractNum w:abstractNumId="53">
    <w:nsid w:val="235BA861"/>
    <w:multiLevelType w:val="hybridMultilevel"/>
    <w:lvl w:ilvl="0">
      <w:lvlJc w:val="left"/>
      <w:lvlText w:val="%1."/>
      <w:numFmt w:val="decimal"/>
      <w:start w:val="56"/>
    </w:lvl>
  </w:abstractNum>
  <w:abstractNum w:abstractNumId="54">
    <w:nsid w:val="47398C89"/>
    <w:multiLevelType w:val="hybridMultilevel"/>
    <w:lvl w:ilvl="0">
      <w:lvlJc w:val="left"/>
      <w:lvlText w:val="%1."/>
      <w:numFmt w:val="decimal"/>
      <w:start w:val="57"/>
    </w:lvl>
  </w:abstractNum>
  <w:abstractNum w:abstractNumId="55">
    <w:nsid w:val="354FE9F9"/>
    <w:multiLevelType w:val="hybridMultilevel"/>
    <w:lvl w:ilvl="0">
      <w:lvlJc w:val="left"/>
      <w:lvlText w:val="%1."/>
      <w:numFmt w:val="decimal"/>
      <w:start w:val="59"/>
    </w:lvl>
  </w:abstractNum>
  <w:abstractNum w:abstractNumId="56">
    <w:nsid w:val="15B5AF5C"/>
    <w:multiLevelType w:val="hybridMultilevel"/>
    <w:lvl w:ilvl="0">
      <w:lvlJc w:val="left"/>
      <w:lvlText w:val="%1."/>
      <w:numFmt w:val="decimal"/>
      <w:start w:val="60"/>
    </w:lvl>
  </w:abstractNum>
  <w:abstractNum w:abstractNumId="57">
    <w:nsid w:val="741226BB"/>
    <w:multiLevelType w:val="hybridMultilevel"/>
    <w:lvl w:ilvl="0">
      <w:lvlJc w:val="left"/>
      <w:lvlText w:val="%1."/>
      <w:numFmt w:val="decimal"/>
      <w:start w:val="61"/>
    </w:lvl>
  </w:abstractNum>
  <w:abstractNum w:abstractNumId="58">
    <w:nsid w:val="D34B6A8"/>
    <w:multiLevelType w:val="hybridMultilevel"/>
    <w:lvl w:ilvl="0">
      <w:lvlJc w:val="left"/>
      <w:lvlText w:val="(%1)"/>
      <w:numFmt w:val="lowerLetter"/>
      <w:start w:val="1"/>
    </w:lvl>
  </w:abstractNum>
  <w:abstractNum w:abstractNumId="59">
    <w:nsid w:val="10233C99"/>
    <w:multiLevelType w:val="hybridMultilevel"/>
    <w:lvl w:ilvl="0">
      <w:lvlJc w:val="left"/>
      <w:lvlText w:val="[%1]"/>
      <w:numFmt w:val="upperLetter"/>
      <w:start w:val="24"/>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2019-12-11T17:44:03Z</dcterms:created>
  <dcterms:modified xsi:type="dcterms:W3CDTF">2019-12-11T17:44:03Z</dcterms:modified>
</cp:coreProperties>
</file>