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8-K/A</w:t>
      </w:r>
    </w:p>
    <w:p>
      <w:pPr>
        <w:ind w:left="3280"/>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Pursuant to Section 13, or 15(d) of the</w:t>
      </w:r>
    </w:p>
    <w:p>
      <w:pPr>
        <w:jc w:val="center"/>
        <w:ind w:right="1879"/>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Date of Report</w:t>
      </w:r>
    </w:p>
    <w:p>
      <w:pPr>
        <w:ind w:left="2440"/>
        <w:spacing w:after="0" w:line="238" w:lineRule="auto"/>
        <w:rPr>
          <w:sz w:val="20"/>
          <w:szCs w:val="20"/>
          <w:color w:val="auto"/>
        </w:rPr>
      </w:pPr>
      <w:r>
        <w:rPr>
          <w:rFonts w:ascii="Courier New" w:cs="Courier New" w:eastAsia="Courier New" w:hAnsi="Courier New"/>
          <w:sz w:val="18"/>
          <w:szCs w:val="18"/>
          <w:color w:val="auto"/>
        </w:rPr>
        <w:t>(Date of earliest event reported)</w:t>
      </w:r>
    </w:p>
    <w:p>
      <w:pPr>
        <w:ind w:left="3380"/>
        <w:spacing w:after="0"/>
        <w:rPr>
          <w:sz w:val="20"/>
          <w:szCs w:val="20"/>
          <w:color w:val="auto"/>
        </w:rPr>
      </w:pPr>
      <w:r>
        <w:rPr>
          <w:rFonts w:ascii="Courier New" w:cs="Courier New" w:eastAsia="Courier New" w:hAnsi="Courier New"/>
          <w:sz w:val="18"/>
          <w:szCs w:val="18"/>
          <w:color w:val="auto"/>
        </w:rPr>
        <w:t>January 10, 1995</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COLGATE-PALMOLIVE COMPANY</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218"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Delaware</w:t>
      </w:r>
    </w:p>
    <w:p>
      <w:pPr>
        <w:jc w:val="center"/>
        <w:ind w:right="1779"/>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(State or other jurisdiction of incorporation)</w:t>
      </w:r>
    </w:p>
    <w:p>
      <w:pPr>
        <w:sectPr>
          <w:pgSz w:w="11900" w:h="16838" w:orient="portrait"/>
          <w:cols w:equalWidth="0" w:num="1">
            <w:col w:w="10219"/>
          </w:cols>
          <w:pgMar w:left="240" w:top="649" w:right="1440" w:bottom="0" w:gutter="0" w:footer="0" w:header="0"/>
        </w:sectPr>
      </w:pPr>
    </w:p>
    <w:p>
      <w:pPr>
        <w:spacing w:after="0" w:line="200"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1-644-2</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0" w:lineRule="exact"/>
        <w:rPr>
          <w:sz w:val="24"/>
          <w:szCs w:val="24"/>
          <w:color w:val="auto"/>
        </w:rPr>
      </w:pPr>
    </w:p>
    <w:p>
      <w:pPr>
        <w:ind w:left="300"/>
        <w:spacing w:after="0"/>
        <w:rPr>
          <w:sz w:val="20"/>
          <w:szCs w:val="20"/>
          <w:color w:val="auto"/>
        </w:rPr>
      </w:pPr>
      <w:r>
        <w:rPr>
          <w:rFonts w:ascii="Courier New" w:cs="Courier New" w:eastAsia="Courier New" w:hAnsi="Courier New"/>
          <w:sz w:val="18"/>
          <w:szCs w:val="18"/>
          <w:color w:val="auto"/>
        </w:rPr>
        <w:t>13-1815595</w:t>
      </w:r>
    </w:p>
    <w:p>
      <w:pPr>
        <w:ind w:left="300"/>
        <w:spacing w:after="0" w:line="238" w:lineRule="auto"/>
        <w:rPr>
          <w:sz w:val="20"/>
          <w:szCs w:val="20"/>
          <w:color w:val="auto"/>
        </w:rPr>
      </w:pPr>
      <w:r>
        <w:rPr>
          <w:rFonts w:ascii="Courier New" w:cs="Courier New" w:eastAsia="Courier New" w:hAnsi="Courier New"/>
          <w:sz w:val="18"/>
          <w:szCs w:val="18"/>
          <w:color w:val="auto"/>
        </w:rPr>
        <w:t>----------</w:t>
      </w:r>
    </w:p>
    <w:p>
      <w:pPr>
        <w:ind w:left="300"/>
        <w:spacing w:after="0"/>
        <w:rPr>
          <w:sz w:val="20"/>
          <w:szCs w:val="20"/>
          <w:color w:val="auto"/>
        </w:rPr>
      </w:pPr>
      <w:r>
        <w:rPr>
          <w:rFonts w:ascii="Courier New" w:cs="Courier New" w:eastAsia="Courier New" w:hAnsi="Courier New"/>
          <w:sz w:val="18"/>
          <w:szCs w:val="18"/>
          <w:color w:val="auto"/>
        </w:rPr>
        <w:t>(IRS Employer</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5300" w:space="720"/>
            <w:col w:w="4199"/>
          </w:cols>
          <w:pgMar w:left="240" w:top="649" w:right="1440" w:bottom="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300 Park Avenue New York, NY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8"/>
          <w:szCs w:val="18"/>
          <w:color w:val="auto"/>
        </w:rPr>
        <w:t>10022</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820" w:space="720"/>
            <w:col w:w="3679"/>
          </w:cols>
          <w:pgMar w:left="240" w:top="649" w:right="1440" w:bottom="0" w:gutter="0" w:footer="0" w:header="0"/>
          <w:type w:val="continuous"/>
        </w:sectPr>
      </w:pPr>
    </w:p>
    <w:p>
      <w:pPr>
        <w:spacing w:after="0" w:line="18"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(212) 310-2000</w:t>
      </w:r>
    </w:p>
    <w:p>
      <w:pPr>
        <w:ind w:left="612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Total number of sequentially numbered pages in this filing, including</w:t>
      </w:r>
    </w:p>
    <w:p>
      <w:pPr>
        <w:jc w:val="center"/>
        <w:ind w:right="1879"/>
        <w:spacing w:after="0" w:line="238" w:lineRule="auto"/>
        <w:rPr>
          <w:sz w:val="20"/>
          <w:szCs w:val="20"/>
          <w:color w:val="auto"/>
        </w:rPr>
      </w:pPr>
      <w:r>
        <w:rPr>
          <w:rFonts w:ascii="Courier New" w:cs="Courier New" w:eastAsia="Courier New" w:hAnsi="Courier New"/>
          <w:sz w:val="18"/>
          <w:szCs w:val="18"/>
          <w:color w:val="auto"/>
        </w:rPr>
        <w:t>exhibits thereto:</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7. Financial Statements and Exhibits</w:t>
      </w:r>
    </w:p>
    <w:p>
      <w:pPr>
        <w:ind w:left="8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4"/>
          <w:szCs w:val="24"/>
          <w:color w:val="auto"/>
        </w:rPr>
      </w:pPr>
    </w:p>
    <w:p>
      <w:pPr>
        <w:ind w:left="1280" w:right="2099" w:hanging="429"/>
        <w:spacing w:after="0" w:line="235" w:lineRule="auto"/>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 acquired (Filed previously under Form 8-K)</w:t>
      </w:r>
    </w:p>
    <w:p>
      <w:pPr>
        <w:spacing w:after="0" w:line="208" w:lineRule="exact"/>
        <w:rPr>
          <w:rFonts w:ascii="Courier New" w:cs="Courier New" w:eastAsia="Courier New" w:hAnsi="Courier New"/>
          <w:sz w:val="18"/>
          <w:szCs w:val="18"/>
          <w:color w:val="auto"/>
        </w:rPr>
      </w:pPr>
    </w:p>
    <w:p>
      <w:pPr>
        <w:ind w:left="1700" w:right="2199" w:hanging="428"/>
        <w:spacing w:after="0" w:line="235" w:lineRule="auto"/>
        <w:tabs>
          <w:tab w:leader="none" w:pos="17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Kolynos audited combined statements of net assets to be sold as of November 30, 1994 and 1993.</w:t>
      </w:r>
    </w:p>
    <w:p>
      <w:pPr>
        <w:spacing w:after="0" w:line="208" w:lineRule="exact"/>
        <w:rPr>
          <w:rFonts w:ascii="Courier New" w:cs="Courier New" w:eastAsia="Courier New" w:hAnsi="Courier New"/>
          <w:sz w:val="18"/>
          <w:szCs w:val="18"/>
          <w:color w:val="auto"/>
        </w:rPr>
      </w:pPr>
    </w:p>
    <w:p>
      <w:pPr>
        <w:ind w:left="1700" w:right="2419" w:hanging="428"/>
        <w:spacing w:after="0" w:line="235" w:lineRule="auto"/>
        <w:tabs>
          <w:tab w:leader="none" w:pos="17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Kolynos audited combined statement of income for the years ended November 30, 1994, 1993 and 1992.</w:t>
      </w:r>
    </w:p>
    <w:p>
      <w:pPr>
        <w:spacing w:after="0" w:line="208" w:lineRule="exact"/>
        <w:rPr>
          <w:rFonts w:ascii="Courier New" w:cs="Courier New" w:eastAsia="Courier New" w:hAnsi="Courier New"/>
          <w:sz w:val="18"/>
          <w:szCs w:val="18"/>
          <w:color w:val="auto"/>
        </w:rPr>
      </w:pPr>
    </w:p>
    <w:p>
      <w:pPr>
        <w:ind w:left="1700" w:right="2519" w:hanging="428"/>
        <w:spacing w:after="0" w:line="235" w:lineRule="auto"/>
        <w:tabs>
          <w:tab w:leader="none" w:pos="17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Kolynos audited combined statements of cash flows for the years ended November 30, 1994 and 1993.</w:t>
      </w:r>
    </w:p>
    <w:p>
      <w:pPr>
        <w:spacing w:after="0" w:line="208" w:lineRule="exact"/>
        <w:rPr>
          <w:rFonts w:ascii="Courier New" w:cs="Courier New" w:eastAsia="Courier New" w:hAnsi="Courier New"/>
          <w:sz w:val="18"/>
          <w:szCs w:val="18"/>
          <w:color w:val="auto"/>
        </w:rPr>
      </w:pPr>
    </w:p>
    <w:p>
      <w:pPr>
        <w:ind w:left="1700" w:right="2199" w:hanging="428"/>
        <w:spacing w:after="0" w:line="235" w:lineRule="auto"/>
        <w:tabs>
          <w:tab w:leader="none" w:pos="17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Notes to Kolynos audited combined financial statements as of and for the years ended November 30, 1994 and 1993.</w:t>
      </w:r>
    </w:p>
    <w:p>
      <w:pPr>
        <w:spacing w:after="0" w:line="202"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Auditors' Report dated January 9, 1995</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Introductory paragraphs.</w:t>
      </w:r>
    </w:p>
    <w:p>
      <w:pPr>
        <w:spacing w:after="0" w:line="206" w:lineRule="exact"/>
        <w:rPr>
          <w:rFonts w:ascii="Courier New" w:cs="Courier New" w:eastAsia="Courier New" w:hAnsi="Courier New"/>
          <w:sz w:val="18"/>
          <w:szCs w:val="18"/>
          <w:color w:val="auto"/>
        </w:rPr>
      </w:pPr>
    </w:p>
    <w:p>
      <w:pPr>
        <w:ind w:left="1700" w:right="1999" w:hanging="428"/>
        <w:spacing w:after="0" w:line="237" w:lineRule="auto"/>
        <w:tabs>
          <w:tab w:leader="none" w:pos="17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Combined Statement of Income for the year ended December 31, 1994 which combines the consolidated statement of income of Colgate-Palmolive Company for its year ended December 31, 1994 with that of the combined Kolynos oral care business for its fiscal year ended November 30, 1994.</w:t>
      </w:r>
    </w:p>
    <w:p>
      <w:pPr>
        <w:spacing w:after="0" w:line="208" w:lineRule="exact"/>
        <w:rPr>
          <w:rFonts w:ascii="Courier New" w:cs="Courier New" w:eastAsia="Courier New" w:hAnsi="Courier New"/>
          <w:sz w:val="18"/>
          <w:szCs w:val="18"/>
          <w:color w:val="auto"/>
        </w:rPr>
      </w:pPr>
    </w:p>
    <w:p>
      <w:pPr>
        <w:ind w:left="1700" w:right="1999" w:hanging="428"/>
        <w:spacing w:after="0" w:line="237" w:lineRule="auto"/>
        <w:tabs>
          <w:tab w:leader="none" w:pos="17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Combined Balance Sheet at December 31, 1994, which combines the consolidated balance sheet of Colgate-Palmolive Company at December 31, 1994 with that of the combined Kolynos oral care business at November 30, 1994.</w:t>
      </w:r>
    </w:p>
    <w:p>
      <w:pPr>
        <w:spacing w:after="0" w:line="201" w:lineRule="exact"/>
        <w:rPr>
          <w:rFonts w:ascii="Courier New" w:cs="Courier New" w:eastAsia="Courier New" w:hAnsi="Courier New"/>
          <w:sz w:val="18"/>
          <w:szCs w:val="18"/>
          <w:color w:val="auto"/>
        </w:rPr>
      </w:pPr>
    </w:p>
    <w:p>
      <w:pPr>
        <w:ind w:left="1700" w:hanging="428"/>
        <w:spacing w:after="0"/>
        <w:tabs>
          <w:tab w:leader="none" w:pos="170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Notes to Pro Forma Combined Financial Statements.</w:t>
      </w:r>
    </w:p>
    <w:p>
      <w:pPr>
        <w:sectPr>
          <w:pgSz w:w="11900" w:h="16838" w:orient="portrait"/>
          <w:cols w:equalWidth="0" w:num="1">
            <w:col w:w="10219"/>
          </w:cols>
          <w:pgMar w:left="240" w:top="649" w:right="1440" w:bottom="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(c) Exhibits (Filed previously under Form 8-K)</w:t>
      </w:r>
    </w:p>
    <w:p>
      <w:pPr>
        <w:spacing w:after="0" w:line="207" w:lineRule="exact"/>
        <w:rPr>
          <w:sz w:val="20"/>
          <w:szCs w:val="20"/>
          <w:color w:val="auto"/>
        </w:rPr>
      </w:pPr>
    </w:p>
    <w:p>
      <w:pPr>
        <w:ind w:left="420" w:right="2519"/>
        <w:spacing w:after="0" w:line="290" w:lineRule="auto"/>
        <w:rPr>
          <w:sz w:val="20"/>
          <w:szCs w:val="20"/>
          <w:color w:val="auto"/>
        </w:rPr>
      </w:pPr>
      <w:r>
        <w:rPr>
          <w:rFonts w:ascii="Courier New" w:cs="Courier New" w:eastAsia="Courier New" w:hAnsi="Courier New"/>
          <w:sz w:val="16"/>
          <w:szCs w:val="16"/>
          <w:color w:val="auto"/>
        </w:rPr>
        <w:t>The Exhibit number corresponds to the number assigned to such Exhibit in the Exhibit Table of Item 601 of Regulation SK</w:t>
      </w:r>
    </w:p>
    <w:p>
      <w:pPr>
        <w:spacing w:after="0" w:line="164" w:lineRule="exact"/>
        <w:rPr>
          <w:sz w:val="20"/>
          <w:szCs w:val="20"/>
          <w:color w:val="auto"/>
        </w:rPr>
      </w:pPr>
    </w:p>
    <w:tbl>
      <w:tblPr>
        <w:tblLayout w:type="fixed"/>
        <w:tblInd w:w="940" w:type="dxa"/>
        <w:tblCellMar>
          <w:top w:w="0" w:type="dxa"/>
          <w:left w:w="0" w:type="dxa"/>
          <w:bottom w:w="0" w:type="dxa"/>
          <w:right w:w="0" w:type="dxa"/>
        </w:tblCellMar>
      </w:tblPr>
      <w:tr>
        <w:trPr>
          <w:trHeight w:val="204"/>
        </w:trPr>
        <w:tc>
          <w:tcPr>
            <w:tcW w:w="2360" w:type="dxa"/>
            <w:vAlign w:val="bottom"/>
          </w:tcPr>
          <w:p>
            <w:pPr>
              <w:spacing w:after="0"/>
              <w:rPr>
                <w:sz w:val="20"/>
                <w:szCs w:val="20"/>
                <w:color w:val="auto"/>
              </w:rPr>
            </w:pPr>
            <w:r>
              <w:rPr>
                <w:rFonts w:ascii="Courier New" w:cs="Courier New" w:eastAsia="Courier New" w:hAnsi="Courier New"/>
                <w:sz w:val="18"/>
                <w:szCs w:val="18"/>
                <w:color w:val="auto"/>
              </w:rPr>
              <w:t>Exhibit Number</w:t>
            </w:r>
          </w:p>
        </w:tc>
        <w:tc>
          <w:tcPr>
            <w:tcW w:w="4060" w:type="dxa"/>
            <w:vAlign w:val="bottom"/>
          </w:tcPr>
          <w:p>
            <w:pPr>
              <w:ind w:left="90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23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0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360" w:type="dxa"/>
            <w:vAlign w:val="bottom"/>
          </w:tcPr>
          <w:p>
            <w:pPr>
              <w:jc w:val="right"/>
              <w:ind w:right="1532"/>
              <w:spacing w:after="0"/>
              <w:rPr>
                <w:sz w:val="20"/>
                <w:szCs w:val="20"/>
                <w:color w:val="auto"/>
              </w:rPr>
            </w:pPr>
            <w:r>
              <w:rPr>
                <w:rFonts w:ascii="Courier New" w:cs="Courier New" w:eastAsia="Courier New" w:hAnsi="Courier New"/>
                <w:sz w:val="18"/>
                <w:szCs w:val="18"/>
                <w:color w:val="auto"/>
              </w:rPr>
              <w:t>2</w:t>
            </w:r>
          </w:p>
        </w:tc>
        <w:tc>
          <w:tcPr>
            <w:tcW w:w="4060" w:type="dxa"/>
            <w:vAlign w:val="bottom"/>
          </w:tcPr>
          <w:p>
            <w:pPr>
              <w:ind w:left="900"/>
              <w:spacing w:after="0"/>
              <w:rPr>
                <w:sz w:val="20"/>
                <w:szCs w:val="20"/>
                <w:color w:val="auto"/>
              </w:rPr>
            </w:pPr>
            <w:r>
              <w:rPr>
                <w:rFonts w:ascii="Courier New" w:cs="Courier New" w:eastAsia="Courier New" w:hAnsi="Courier New"/>
                <w:sz w:val="18"/>
                <w:szCs w:val="18"/>
                <w:color w:val="auto"/>
              </w:rPr>
              <w:t>Purchase Agreement among</w:t>
            </w:r>
          </w:p>
        </w:tc>
      </w:tr>
      <w:tr>
        <w:trPr>
          <w:trHeight w:val="203"/>
        </w:trPr>
        <w:tc>
          <w:tcPr>
            <w:tcW w:w="2360" w:type="dxa"/>
            <w:vAlign w:val="bottom"/>
          </w:tcPr>
          <w:p>
            <w:pPr>
              <w:spacing w:after="0"/>
              <w:rPr>
                <w:sz w:val="17"/>
                <w:szCs w:val="17"/>
                <w:color w:val="auto"/>
              </w:rPr>
            </w:pPr>
          </w:p>
        </w:tc>
        <w:tc>
          <w:tcPr>
            <w:tcW w:w="40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American Home Products</w:t>
            </w:r>
          </w:p>
        </w:tc>
      </w:tr>
      <w:tr>
        <w:trPr>
          <w:trHeight w:val="203"/>
        </w:trPr>
        <w:tc>
          <w:tcPr>
            <w:tcW w:w="2360" w:type="dxa"/>
            <w:vAlign w:val="bottom"/>
          </w:tcPr>
          <w:p>
            <w:pPr>
              <w:spacing w:after="0"/>
              <w:rPr>
                <w:sz w:val="17"/>
                <w:szCs w:val="17"/>
                <w:color w:val="auto"/>
              </w:rPr>
            </w:pPr>
          </w:p>
        </w:tc>
        <w:tc>
          <w:tcPr>
            <w:tcW w:w="40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w w:val="96"/>
              </w:rPr>
              <w:t>Corporation, Colgate-Palmolive</w:t>
            </w:r>
          </w:p>
        </w:tc>
      </w:tr>
      <w:tr>
        <w:trPr>
          <w:trHeight w:val="203"/>
        </w:trPr>
        <w:tc>
          <w:tcPr>
            <w:tcW w:w="2360" w:type="dxa"/>
            <w:vAlign w:val="bottom"/>
          </w:tcPr>
          <w:p>
            <w:pPr>
              <w:spacing w:after="0"/>
              <w:rPr>
                <w:sz w:val="17"/>
                <w:szCs w:val="17"/>
                <w:color w:val="auto"/>
              </w:rPr>
            </w:pPr>
          </w:p>
        </w:tc>
        <w:tc>
          <w:tcPr>
            <w:tcW w:w="40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Company and KAC Corp.</w:t>
            </w:r>
          </w:p>
        </w:tc>
      </w:tr>
      <w:tr>
        <w:trPr>
          <w:trHeight w:val="203"/>
        </w:trPr>
        <w:tc>
          <w:tcPr>
            <w:tcW w:w="2360" w:type="dxa"/>
            <w:vAlign w:val="bottom"/>
          </w:tcPr>
          <w:p>
            <w:pPr>
              <w:spacing w:after="0"/>
              <w:rPr>
                <w:sz w:val="17"/>
                <w:szCs w:val="17"/>
                <w:color w:val="auto"/>
              </w:rPr>
            </w:pPr>
          </w:p>
        </w:tc>
        <w:tc>
          <w:tcPr>
            <w:tcW w:w="40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January 9, 1995</w:t>
            </w:r>
          </w:p>
        </w:tc>
      </w:tr>
    </w:tbl>
    <w:p>
      <w:pPr>
        <w:sectPr>
          <w:pgSz w:w="11900" w:h="16838" w:orient="portrait"/>
          <w:cols w:equalWidth="0" w:num="1">
            <w:col w:w="9359"/>
          </w:cols>
          <w:pgMar w:left="1100" w:top="136"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Pro Forma Financial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Introductory Paragraphs</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As previously reported in the Registrant's Current Report on Form 8-K dated January 10, 1995, the Colgate-Palmolive Company ("Company") acquired the Kolynos oral care business ("Kolynos") of Whitehall International, Inc., a subsidiary of American Home Products Corporation for U.S. $1.04 billion in cash.</w:t>
      </w:r>
    </w:p>
    <w:p>
      <w:pPr>
        <w:spacing w:after="0" w:line="209"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The acquisition will be accounted for using the purchase method of accounting. This Report on Form 8 amends the Company's Current Report on Form 8-K dated January 10, 1995 to include the Pro Forma Combined Statement of Income combining the consolidated statement of income of the Company for its year ended December 31, 1994 with that of Kolynos for its fiscal year ended November 30, 1994, as well as the Pro Forma Combined Balance Sheet at December 31, 1994, which combines the consolidated balance sheet of Colgate-Palmolive Company at December 31, 1994 with that of Kolynos at November 30, 1994.</w:t>
      </w:r>
    </w:p>
    <w:p>
      <w:pPr>
        <w:sectPr>
          <w:pgSz w:w="11900" w:h="16838" w:orient="portrait"/>
          <w:cols w:equalWidth="0" w:num="1">
            <w:col w:w="10219"/>
          </w:cols>
          <w:pgMar w:left="240" w:top="717" w:right="1440" w:bottom="1440" w:gutter="0" w:footer="0" w:header="0"/>
        </w:sectPr>
      </w:pPr>
    </w:p>
    <w:bookmarkStart w:id="3" w:name="page4"/>
    <w:bookmarkEnd w:id="3"/>
    <w:p>
      <w:pPr>
        <w:spacing w:after="0" w:line="88"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COLGATE-PALMOLIVE COMPANY</w:t>
      </w:r>
    </w:p>
    <w:p>
      <w:pPr>
        <w:ind w:left="2120"/>
        <w:spacing w:after="0" w:line="238" w:lineRule="auto"/>
        <w:rPr>
          <w:sz w:val="20"/>
          <w:szCs w:val="20"/>
          <w:color w:val="auto"/>
        </w:rPr>
      </w:pPr>
      <w:r>
        <w:rPr>
          <w:rFonts w:ascii="Courier New" w:cs="Courier New" w:eastAsia="Courier New" w:hAnsi="Courier New"/>
          <w:sz w:val="18"/>
          <w:szCs w:val="18"/>
          <w:color w:val="auto"/>
        </w:rPr>
        <w:t>PRO FORMA COMBINED STATEMENT OF INCOME</w:t>
      </w:r>
    </w:p>
    <w:p>
      <w:pPr>
        <w:ind w:left="2640"/>
        <w:spacing w:after="0"/>
        <w:rPr>
          <w:sz w:val="20"/>
          <w:szCs w:val="20"/>
          <w:color w:val="auto"/>
        </w:rPr>
      </w:pPr>
      <w:r>
        <w:rPr>
          <w:rFonts w:ascii="Courier New" w:cs="Courier New" w:eastAsia="Courier New" w:hAnsi="Courier New"/>
          <w:sz w:val="18"/>
          <w:szCs w:val="18"/>
          <w:color w:val="auto"/>
        </w:rPr>
        <w:t>YEAR ENDED DECEMBER 31, 1994</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(Dollars in millions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2420" w:type="dxa"/>
            <w:vAlign w:val="bottom"/>
            <w:gridSpan w:val="2"/>
          </w:tcPr>
          <w:p>
            <w:pPr>
              <w:jc w:val="right"/>
              <w:ind w:right="812"/>
              <w:spacing w:after="0"/>
              <w:rPr>
                <w:sz w:val="20"/>
                <w:szCs w:val="20"/>
                <w:color w:val="auto"/>
              </w:rPr>
            </w:pPr>
            <w:r>
              <w:rPr>
                <w:rFonts w:ascii="Courier New" w:cs="Courier New" w:eastAsia="Courier New" w:hAnsi="Courier New"/>
                <w:sz w:val="18"/>
                <w:szCs w:val="18"/>
                <w:color w:val="auto"/>
              </w:rPr>
              <w:t>(unaudited)</w:t>
            </w: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405"/>
        </w:trPr>
        <w:tc>
          <w:tcPr>
            <w:tcW w:w="3120" w:type="dxa"/>
            <w:vAlign w:val="bottom"/>
          </w:tcPr>
          <w:p>
            <w:pPr>
              <w:spacing w:after="0"/>
              <w:rPr>
                <w:sz w:val="24"/>
                <w:szCs w:val="24"/>
                <w:color w:val="auto"/>
              </w:rPr>
            </w:pPr>
          </w:p>
        </w:tc>
        <w:tc>
          <w:tcPr>
            <w:tcW w:w="2420" w:type="dxa"/>
            <w:vAlign w:val="bottom"/>
            <w:gridSpan w:val="2"/>
          </w:tcPr>
          <w:p>
            <w:pPr>
              <w:jc w:val="right"/>
              <w:ind w:right="492"/>
              <w:spacing w:after="0"/>
              <w:rPr>
                <w:sz w:val="20"/>
                <w:szCs w:val="20"/>
                <w:color w:val="auto"/>
              </w:rPr>
            </w:pPr>
            <w:r>
              <w:rPr>
                <w:rFonts w:ascii="Courier New" w:cs="Courier New" w:eastAsia="Courier New" w:hAnsi="Courier New"/>
                <w:sz w:val="18"/>
                <w:szCs w:val="18"/>
                <w:color w:val="auto"/>
              </w:rPr>
              <w:t>HISTORICAL</w:t>
            </w:r>
          </w:p>
        </w:tc>
        <w:tc>
          <w:tcPr>
            <w:tcW w:w="258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31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COLGATE</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KOLYNOS</w:t>
            </w:r>
          </w:p>
        </w:tc>
        <w:tc>
          <w:tcPr>
            <w:tcW w:w="15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12/31/94</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11/30/94</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ADJUSTMENTS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$7,587.9</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$288.2</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$(10.0)(A)</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$7,866.1</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COST OF SALES</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3,913.3</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105.0</w:t>
            </w:r>
          </w:p>
        </w:tc>
        <w:tc>
          <w:tcPr>
            <w:tcW w:w="1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4,018.3</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3,674.6</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183.2</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3,847.8</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SELLING, GENERAL AND</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 EXPENSES</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2,708.0</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133.1</w:t>
            </w:r>
          </w:p>
        </w:tc>
        <w:tc>
          <w:tcPr>
            <w:tcW w:w="15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15.4 (B)</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2,856.5</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INTEREST EXPENSE, NET</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86.7</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0.0</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72.8 (C)</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159.5</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INCOME BEFORE INCOME TAXES</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879.9</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50.1</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(98.2)</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831.8</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299.7</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21.2</w:t>
            </w:r>
          </w:p>
        </w:tc>
        <w:tc>
          <w:tcPr>
            <w:tcW w:w="15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(33.4)(D)</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287.5</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NET INCOME</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$580.2</w:t>
            </w: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$28.9</w:t>
            </w:r>
          </w:p>
        </w:tc>
        <w:tc>
          <w:tcPr>
            <w:tcW w:w="15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$(64.8)</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$544.3</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EARNINGS PER SHARE</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PRIMARY</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$3.82</w:t>
            </w: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$3.58</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WEIGHTED AVERAGE SHARES</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(millions)</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146.2</w:t>
            </w: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146.2</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FULLY DILUTED</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$3.56</w:t>
            </w: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$3.32</w:t>
            </w: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WEIGHTED AVERAGE SHARES</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 (millions)</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160.4</w:t>
            </w:r>
          </w:p>
        </w:tc>
        <w:tc>
          <w:tcPr>
            <w:tcW w:w="11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160.4</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The pro forma financial information is not necessarily indicative of either the results of operations that would have occurred had the Company and Kolynos actually been combined during the periods presented or the future results</w:t>
      </w:r>
    </w:p>
    <w:p>
      <w:pPr>
        <w:spacing w:after="0" w:line="1"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of operations of the combined companies. Although the Company intends to operate Kolynos in Brazil as a separate operation, there are certain other benefits that are anticipated to be realized from the implementation of the Company's integration plans which are not included in the pro forma information. The Company believes that future growth opportunities, as well as the benefits of such integration plans when fully implemented, will reduce and eventually more than offset any dilutive impact on earnings per share.</w:t>
      </w:r>
    </w:p>
    <w:p>
      <w:pPr>
        <w:spacing w:after="0" w:line="385"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See Notes to Pro Forma Combined Financial Statements</w:t>
      </w:r>
    </w:p>
    <w:p>
      <w:pPr>
        <w:sectPr>
          <w:pgSz w:w="11900" w:h="16838" w:orient="portrait"/>
          <w:cols w:equalWidth="0" w:num="1">
            <w:col w:w="10219"/>
          </w:cols>
          <w:pgMar w:left="240" w:top="1440" w:right="1440" w:bottom="1440" w:gutter="0" w:footer="0" w:header="0"/>
        </w:sectPr>
      </w:pPr>
    </w:p>
    <w:bookmarkStart w:id="4" w:name="page5"/>
    <w:bookmarkEnd w:id="4"/>
    <w:p>
      <w:pPr>
        <w:ind w:left="2740"/>
        <w:spacing w:after="0"/>
        <w:rPr>
          <w:sz w:val="20"/>
          <w:szCs w:val="20"/>
          <w:color w:val="auto"/>
        </w:rPr>
      </w:pPr>
      <w:r>
        <w:rPr>
          <w:rFonts w:ascii="Courier New" w:cs="Courier New" w:eastAsia="Courier New" w:hAnsi="Courier New"/>
          <w:sz w:val="18"/>
          <w:szCs w:val="18"/>
          <w:color w:val="auto"/>
        </w:rPr>
        <w:t>COLGATE-PALMOLIVE COMPANY</w:t>
      </w:r>
    </w:p>
    <w:p>
      <w:pPr>
        <w:ind w:left="2440"/>
        <w:spacing w:after="0" w:line="238" w:lineRule="auto"/>
        <w:rPr>
          <w:sz w:val="20"/>
          <w:szCs w:val="20"/>
          <w:color w:val="auto"/>
        </w:rPr>
      </w:pPr>
      <w:r>
        <w:rPr>
          <w:rFonts w:ascii="Courier New" w:cs="Courier New" w:eastAsia="Courier New" w:hAnsi="Courier New"/>
          <w:sz w:val="18"/>
          <w:szCs w:val="18"/>
          <w:color w:val="auto"/>
        </w:rPr>
        <w:t>PRO FORMA COMBINED BALANCE SHEET</w:t>
      </w:r>
    </w:p>
    <w:tbl>
      <w:tblPr>
        <w:tblLayout w:type="fixed"/>
        <w:tblInd w:w="0" w:type="dxa"/>
        <w:tblCellMar>
          <w:top w:w="0" w:type="dxa"/>
          <w:left w:w="0" w:type="dxa"/>
          <w:bottom w:w="0" w:type="dxa"/>
          <w:right w:w="0" w:type="dxa"/>
        </w:tblCellMar>
      </w:tblPr>
      <w:tr>
        <w:trPr>
          <w:trHeight w:val="203"/>
        </w:trPr>
        <w:tc>
          <w:tcPr>
            <w:tcW w:w="2580" w:type="dxa"/>
            <w:vAlign w:val="bottom"/>
          </w:tcPr>
          <w:p>
            <w:pPr>
              <w:spacing w:after="0"/>
              <w:rPr>
                <w:sz w:val="17"/>
                <w:szCs w:val="17"/>
                <w:color w:val="auto"/>
              </w:rPr>
            </w:pPr>
          </w:p>
        </w:tc>
        <w:tc>
          <w:tcPr>
            <w:tcW w:w="296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8"/>
              </w:rPr>
              <w:t>DECEMBER 31, 1994</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405"/>
        </w:trPr>
        <w:tc>
          <w:tcPr>
            <w:tcW w:w="2580" w:type="dxa"/>
            <w:vAlign w:val="bottom"/>
          </w:tcPr>
          <w:p>
            <w:pPr>
              <w:spacing w:after="0"/>
              <w:rPr>
                <w:sz w:val="24"/>
                <w:szCs w:val="24"/>
                <w:color w:val="auto"/>
              </w:rPr>
            </w:pPr>
          </w:p>
        </w:tc>
        <w:tc>
          <w:tcPr>
            <w:tcW w:w="296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6"/>
              </w:rPr>
              <w:t>(Dollars in millions)</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2580" w:type="dxa"/>
            <w:vAlign w:val="bottom"/>
          </w:tcPr>
          <w:p>
            <w:pPr>
              <w:spacing w:after="0"/>
              <w:rPr>
                <w:sz w:val="24"/>
                <w:szCs w:val="24"/>
                <w:color w:val="auto"/>
              </w:rPr>
            </w:pPr>
          </w:p>
        </w:tc>
        <w:tc>
          <w:tcPr>
            <w:tcW w:w="296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7"/>
              </w:rPr>
              <w:t>(unaudited)</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2580" w:type="dxa"/>
            <w:vAlign w:val="bottom"/>
          </w:tcPr>
          <w:p>
            <w:pPr>
              <w:spacing w:after="0"/>
              <w:rPr>
                <w:sz w:val="24"/>
                <w:szCs w:val="24"/>
                <w:color w:val="auto"/>
              </w:rPr>
            </w:pPr>
          </w:p>
        </w:tc>
        <w:tc>
          <w:tcPr>
            <w:tcW w:w="2960" w:type="dxa"/>
            <w:vAlign w:val="bottom"/>
            <w:gridSpan w:val="2"/>
          </w:tcPr>
          <w:p>
            <w:pPr>
              <w:jc w:val="right"/>
              <w:ind w:right="592"/>
              <w:spacing w:after="0"/>
              <w:rPr>
                <w:sz w:val="20"/>
                <w:szCs w:val="20"/>
                <w:color w:val="auto"/>
              </w:rPr>
            </w:pPr>
            <w:r>
              <w:rPr>
                <w:rFonts w:ascii="Courier New" w:cs="Courier New" w:eastAsia="Courier New" w:hAnsi="Courier New"/>
                <w:sz w:val="18"/>
                <w:szCs w:val="18"/>
                <w:color w:val="auto"/>
              </w:rPr>
              <w:t>HISTORICAL</w:t>
            </w: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gridSpan w:val="2"/>
          </w:tcPr>
          <w:p>
            <w:pPr>
              <w:jc w:val="right"/>
              <w:ind w:right="652"/>
              <w:spacing w:after="0"/>
              <w:rPr>
                <w:sz w:val="20"/>
                <w:szCs w:val="20"/>
                <w:color w:val="auto"/>
              </w:rPr>
            </w:pPr>
            <w:r>
              <w:rPr>
                <w:rFonts w:ascii="Courier New" w:cs="Courier New" w:eastAsia="Courier New" w:hAnsi="Courier New"/>
                <w:sz w:val="18"/>
                <w:szCs w:val="18"/>
                <w:color w:val="auto"/>
              </w:rPr>
              <w:t>PRO FORMA</w:t>
            </w:r>
          </w:p>
        </w:tc>
      </w:tr>
      <w:tr>
        <w:trPr>
          <w:trHeight w:val="203"/>
        </w:trPr>
        <w:tc>
          <w:tcPr>
            <w:tcW w:w="2580" w:type="dxa"/>
            <w:vAlign w:val="bottom"/>
          </w:tcPr>
          <w:p>
            <w:pPr>
              <w:spacing w:after="0"/>
              <w:rPr>
                <w:sz w:val="17"/>
                <w:szCs w:val="17"/>
                <w:color w:val="auto"/>
              </w:rPr>
            </w:pP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COLGATE</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KOLYNOS</w:t>
            </w:r>
          </w:p>
        </w:tc>
        <w:tc>
          <w:tcPr>
            <w:tcW w:w="3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12/31/94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11/30/94</w:t>
            </w:r>
          </w:p>
        </w:tc>
        <w:tc>
          <w:tcPr>
            <w:tcW w:w="1580" w:type="dxa"/>
            <w:vAlign w:val="bottom"/>
            <w:gridSpan w:val="3"/>
          </w:tcPr>
          <w:p>
            <w:pPr>
              <w:jc w:val="right"/>
              <w:ind w:right="172"/>
              <w:spacing w:after="0" w:line="203" w:lineRule="exact"/>
              <w:rPr>
                <w:sz w:val="20"/>
                <w:szCs w:val="20"/>
                <w:color w:val="auto"/>
              </w:rPr>
            </w:pPr>
            <w:r>
              <w:rPr>
                <w:rFonts w:ascii="Courier New" w:cs="Courier New" w:eastAsia="Courier New" w:hAnsi="Courier New"/>
                <w:sz w:val="18"/>
                <w:szCs w:val="18"/>
                <w:color w:val="auto"/>
              </w:rPr>
              <w:t>ADJUSTMENTS</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COMBINED</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1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$2,177.7</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$47.9</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$2,225.6</w:t>
            </w:r>
          </w:p>
        </w:tc>
      </w:tr>
      <w:tr>
        <w:trPr>
          <w:trHeight w:val="405"/>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PROPERTY, PLANT AND EQUIPMENT,</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NET</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1,988.1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26.4</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2,014.5</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GOODWILL AND OTHER</w:t>
            </w: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INTANGIBLES, NET</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1,671.8</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988.4</w:t>
            </w:r>
          </w:p>
        </w:tc>
        <w:tc>
          <w:tcPr>
            <w:tcW w:w="6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(E)</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2,660.2</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1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304.8</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304.8</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TOTAL ASSETS</w:t>
            </w:r>
          </w:p>
        </w:tc>
        <w:tc>
          <w:tcPr>
            <w:tcW w:w="1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$6,142.4</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$74.3</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$988.4</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$7,205.1</w:t>
            </w:r>
          </w:p>
        </w:tc>
      </w:tr>
      <w:tr>
        <w:trPr>
          <w:trHeight w:val="203"/>
        </w:trPr>
        <w:tc>
          <w:tcPr>
            <w:tcW w:w="2580" w:type="dxa"/>
            <w:vAlign w:val="bottom"/>
          </w:tcPr>
          <w:p>
            <w:pPr>
              <w:spacing w:after="0"/>
              <w:rPr>
                <w:sz w:val="17"/>
                <w:szCs w:val="17"/>
                <w:color w:val="auto"/>
              </w:rPr>
            </w:pP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1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$1,529.2</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$20.1</w:t>
            </w:r>
          </w:p>
        </w:tc>
        <w:tc>
          <w:tcPr>
            <w:tcW w:w="3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(5.4)(F)</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$1,543.9</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1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1,751.5</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1,112.8</w:t>
            </w:r>
          </w:p>
        </w:tc>
        <w:tc>
          <w:tcPr>
            <w:tcW w:w="6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(G)</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2,864.3</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DEFERRED INCOME TAXES</w:t>
            </w:r>
          </w:p>
        </w:tc>
        <w:tc>
          <w:tcPr>
            <w:tcW w:w="1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295.4</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295.4</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OTHER LIABILITIES</w:t>
            </w:r>
          </w:p>
        </w:tc>
        <w:tc>
          <w:tcPr>
            <w:tcW w:w="1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743.4</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w:t>
            </w:r>
          </w:p>
        </w:tc>
        <w:tc>
          <w:tcPr>
            <w:tcW w:w="3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743.4</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SHAREHOLDERS' EQUITY</w:t>
            </w:r>
          </w:p>
        </w:tc>
        <w:tc>
          <w:tcPr>
            <w:tcW w:w="18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1,822.9</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54.2</w:t>
            </w:r>
          </w:p>
        </w:tc>
        <w:tc>
          <w:tcPr>
            <w:tcW w:w="1580" w:type="dxa"/>
            <w:vAlign w:val="bottom"/>
            <w:gridSpan w:val="3"/>
          </w:tcPr>
          <w:p>
            <w:pPr>
              <w:jc w:val="right"/>
              <w:ind w:right="172"/>
              <w:spacing w:after="0"/>
              <w:rPr>
                <w:sz w:val="20"/>
                <w:szCs w:val="20"/>
                <w:color w:val="auto"/>
              </w:rPr>
            </w:pPr>
            <w:r>
              <w:rPr>
                <w:rFonts w:ascii="Courier New" w:cs="Courier New" w:eastAsia="Courier New" w:hAnsi="Courier New"/>
                <w:sz w:val="18"/>
                <w:szCs w:val="18"/>
                <w:color w:val="auto"/>
              </w:rPr>
              <w:t>(119.0)(H)</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1,758.1</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LIABILITIES AND</w:t>
            </w:r>
          </w:p>
        </w:tc>
        <w:tc>
          <w:tcPr>
            <w:tcW w:w="18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$6,142.4</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$74.3</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$988.4</w:t>
            </w: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$7,205.1</w:t>
            </w:r>
          </w:p>
        </w:tc>
      </w:tr>
      <w:tr>
        <w:trPr>
          <w:trHeight w:val="203"/>
        </w:trPr>
        <w:tc>
          <w:tcPr>
            <w:tcW w:w="2580" w:type="dxa"/>
            <w:vAlign w:val="bottom"/>
          </w:tcPr>
          <w:p>
            <w:pPr>
              <w:spacing w:after="0"/>
              <w:rPr>
                <w:sz w:val="17"/>
                <w:szCs w:val="17"/>
                <w:color w:val="auto"/>
              </w:rPr>
            </w:pPr>
          </w:p>
        </w:tc>
        <w:tc>
          <w:tcPr>
            <w:tcW w:w="1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Courier New" w:cs="Courier New" w:eastAsia="Courier New" w:hAnsi="Courier New"/>
          <w:sz w:val="18"/>
          <w:szCs w:val="18"/>
          <w:color w:val="auto"/>
        </w:rPr>
        <w:t>See Notes to Pro Forma Combined Financial Statements</w:t>
      </w:r>
    </w:p>
    <w:p>
      <w:pPr>
        <w:sectPr>
          <w:pgSz w:w="11900" w:h="16838" w:orient="portrait"/>
          <w:cols w:equalWidth="0" w:num="1">
            <w:col w:w="10219"/>
          </w:cols>
          <w:pgMar w:left="240" w:top="717" w:right="1440" w:bottom="1440" w:gutter="0" w:footer="0" w:header="0"/>
        </w:sectPr>
      </w:pPr>
    </w:p>
    <w:bookmarkStart w:id="5" w:name="page6"/>
    <w:bookmarkEnd w:id="5"/>
    <w:p>
      <w:pPr>
        <w:ind w:left="2740"/>
        <w:spacing w:after="0"/>
        <w:rPr>
          <w:sz w:val="20"/>
          <w:szCs w:val="20"/>
          <w:color w:val="auto"/>
        </w:rPr>
      </w:pPr>
      <w:r>
        <w:rPr>
          <w:rFonts w:ascii="Courier New" w:cs="Courier New" w:eastAsia="Courier New" w:hAnsi="Courier New"/>
          <w:sz w:val="18"/>
          <w:szCs w:val="18"/>
          <w:color w:val="auto"/>
        </w:rPr>
        <w:t>COLGATE-PALMOLIVE COMPANY</w:t>
      </w:r>
    </w:p>
    <w:p>
      <w:pPr>
        <w:ind w:left="3160"/>
        <w:spacing w:after="0" w:line="238" w:lineRule="auto"/>
        <w:rPr>
          <w:sz w:val="20"/>
          <w:szCs w:val="20"/>
          <w:color w:val="auto"/>
        </w:rPr>
      </w:pPr>
      <w:r>
        <w:rPr>
          <w:rFonts w:ascii="Courier New" w:cs="Courier New" w:eastAsia="Courier New" w:hAnsi="Courier New"/>
          <w:sz w:val="18"/>
          <w:szCs w:val="18"/>
          <w:color w:val="auto"/>
        </w:rPr>
        <w:t>NOTES TO PRO FORMA</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COMBINED FINANCIAL STATEMENTS</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DECEMBER 31, 1994</w:t>
      </w:r>
    </w:p>
    <w:p>
      <w:pPr>
        <w:spacing w:after="0" w:line="201" w:lineRule="exact"/>
        <w:rPr>
          <w:sz w:val="20"/>
          <w:szCs w:val="20"/>
          <w:color w:val="auto"/>
        </w:rPr>
      </w:pPr>
    </w:p>
    <w:p>
      <w:pPr>
        <w:jc w:val="center"/>
        <w:ind w:right="2079"/>
        <w:spacing w:after="0"/>
        <w:rPr>
          <w:sz w:val="20"/>
          <w:szCs w:val="20"/>
          <w:color w:val="auto"/>
        </w:rPr>
      </w:pPr>
      <w:r>
        <w:rPr>
          <w:rFonts w:ascii="Courier New" w:cs="Courier New" w:eastAsia="Courier New" w:hAnsi="Courier New"/>
          <w:sz w:val="18"/>
          <w:szCs w:val="18"/>
          <w:color w:val="auto"/>
        </w:rPr>
        <w:t>(Dollars in millions)</w:t>
      </w:r>
    </w:p>
    <w:p>
      <w:pPr>
        <w:jc w:val="center"/>
        <w:ind w:right="2079"/>
        <w:spacing w:after="0" w:line="238" w:lineRule="auto"/>
        <w:rPr>
          <w:sz w:val="20"/>
          <w:szCs w:val="20"/>
          <w:color w:val="auto"/>
        </w:rPr>
      </w:pPr>
      <w:r>
        <w:rPr>
          <w:rFonts w:ascii="Courier New" w:cs="Courier New" w:eastAsia="Courier New" w:hAnsi="Courier New"/>
          <w:sz w:val="18"/>
          <w:szCs w:val="18"/>
          <w:color w:val="auto"/>
        </w:rPr>
        <w:t>(unaudited)</w:t>
      </w:r>
    </w:p>
    <w:p>
      <w:pPr>
        <w:sectPr>
          <w:pgSz w:w="11900" w:h="16838" w:orient="portrait"/>
          <w:cols w:equalWidth="0" w:num="1">
            <w:col w:w="10219"/>
          </w:cols>
          <w:pgMar w:left="240" w:top="717" w:right="1440" w:bottom="971"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Pro Forma Adjustments</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Increase (Decrease)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3">
            <w:col w:w="740" w:space="220"/>
            <w:col w:w="4440" w:space="720"/>
            <w:col w:w="4099"/>
          </w:cols>
          <w:pgMar w:left="240" w:top="717" w:right="1440" w:bottom="971" w:gutter="0" w:footer="0" w:header="0"/>
          <w:type w:val="continuous"/>
        </w:sectPr>
      </w:pPr>
    </w:p>
    <w:p>
      <w:pPr>
        <w:ind w:left="420" w:right="120" w:hanging="419"/>
        <w:spacing w:after="0" w:line="236" w:lineRule="auto"/>
        <w:tabs>
          <w:tab w:leader="none" w:pos="400" w:val="left"/>
        </w:tabs>
        <w:rPr>
          <w:sz w:val="20"/>
          <w:szCs w:val="20"/>
          <w:color w:val="auto"/>
        </w:rPr>
      </w:pPr>
      <w:r>
        <w:rPr>
          <w:rFonts w:ascii="Courier New" w:cs="Courier New" w:eastAsia="Courier New" w:hAnsi="Courier New"/>
          <w:sz w:val="18"/>
          <w:szCs w:val="18"/>
          <w:color w:val="auto"/>
        </w:rPr>
        <w:t>(A)</w:t>
        <w:tab/>
        <w:t>Adjustment to Net Sales to reclassify Kolynos trade promotions expense to conform with the Company's presentation. See (B).</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(10.0)</w:t>
      </w:r>
    </w:p>
    <w:p>
      <w:pPr>
        <w:spacing w:after="0" w:line="215" w:lineRule="exact"/>
        <w:rPr>
          <w:sz w:val="20"/>
          <w:szCs w:val="20"/>
          <w:color w:val="auto"/>
        </w:rPr>
      </w:pPr>
    </w:p>
    <w:p>
      <w:pPr>
        <w:sectPr>
          <w:pgSz w:w="11900" w:h="16838" w:orient="portrait"/>
          <w:cols w:equalWidth="0" w:num="2">
            <w:col w:w="5920" w:space="720"/>
            <w:col w:w="3579"/>
          </w:cols>
          <w:pgMar w:left="240" w:top="717" w:right="1440" w:bottom="971"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 Pro Forma adjustments to Selling, General and</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Administrative Expenses:</w:t>
      </w:r>
    </w:p>
    <w:p>
      <w:pPr>
        <w:sectPr>
          <w:pgSz w:w="11900" w:h="16838" w:orient="portrait"/>
          <w:cols w:equalWidth="0" w:num="1">
            <w:col w:w="10219"/>
          </w:cols>
          <w:pgMar w:left="240" w:top="717" w:right="1440" w:bottom="971" w:gutter="0" w:footer="0" w:header="0"/>
          <w:type w:val="continuous"/>
        </w:sectPr>
      </w:pPr>
    </w:p>
    <w:p>
      <w:pPr>
        <w:spacing w:after="0" w:line="207" w:lineRule="exact"/>
        <w:rPr>
          <w:sz w:val="20"/>
          <w:szCs w:val="20"/>
          <w:color w:val="auto"/>
        </w:rPr>
      </w:pPr>
    </w:p>
    <w:p>
      <w:pPr>
        <w:ind w:left="860" w:right="440" w:hanging="439"/>
        <w:spacing w:after="0" w:line="290" w:lineRule="auto"/>
        <w:tabs>
          <w:tab w:leader="none" w:pos="840" w:val="left"/>
        </w:tabs>
        <w:rPr>
          <w:sz w:val="20"/>
          <w:szCs w:val="20"/>
          <w:color w:val="auto"/>
        </w:rPr>
      </w:pPr>
      <w:r>
        <w:rPr>
          <w:rFonts w:ascii="Courier New" w:cs="Courier New" w:eastAsia="Courier New" w:hAnsi="Courier New"/>
          <w:sz w:val="16"/>
          <w:szCs w:val="16"/>
          <w:color w:val="auto"/>
        </w:rPr>
        <w:t>(1)</w:t>
        <w:tab/>
        <w:t>Reclassification of Kolynos trade promotions to conform with the Company's presentation.</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(10.0)</w:t>
      </w:r>
    </w:p>
    <w:p>
      <w:pPr>
        <w:spacing w:after="0" w:line="224" w:lineRule="exact"/>
        <w:rPr>
          <w:sz w:val="20"/>
          <w:szCs w:val="20"/>
          <w:color w:val="auto"/>
        </w:rPr>
      </w:pPr>
    </w:p>
    <w:p>
      <w:pPr>
        <w:sectPr>
          <w:pgSz w:w="11900" w:h="16838" w:orient="portrait"/>
          <w:cols w:equalWidth="0" w:num="2">
            <w:col w:w="5920" w:space="720"/>
            <w:col w:w="3579"/>
          </w:cols>
          <w:pgMar w:left="240" w:top="717" w:right="1440" w:bottom="971" w:gutter="0" w:footer="0" w:header="0"/>
          <w:type w:val="continuous"/>
        </w:sectPr>
      </w:pPr>
    </w:p>
    <w:p>
      <w:pPr>
        <w:ind w:left="860" w:right="440" w:hanging="439"/>
        <w:spacing w:after="0" w:line="290" w:lineRule="auto"/>
        <w:tabs>
          <w:tab w:leader="none" w:pos="840" w:val="left"/>
        </w:tabs>
        <w:rPr>
          <w:sz w:val="20"/>
          <w:szCs w:val="20"/>
          <w:color w:val="auto"/>
        </w:rPr>
      </w:pPr>
      <w:r>
        <w:rPr>
          <w:rFonts w:ascii="Courier New" w:cs="Courier New" w:eastAsia="Courier New" w:hAnsi="Courier New"/>
          <w:sz w:val="16"/>
          <w:szCs w:val="16"/>
          <w:color w:val="auto"/>
        </w:rPr>
        <w:t>(2)</w:t>
        <w:tab/>
        <w:t>Amortization of estimated goodwill of approximately $1,013.8 over a 40 years life.</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25.4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15.4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5920" w:space="720"/>
            <w:col w:w="3579"/>
          </w:cols>
          <w:pgMar w:left="240" w:top="717" w:right="1440" w:bottom="971" w:gutter="0" w:footer="0" w:header="0"/>
          <w:type w:val="continuous"/>
        </w:sectPr>
      </w:pPr>
    </w:p>
    <w:p>
      <w:pPr>
        <w:ind w:left="420" w:right="320" w:hanging="419"/>
        <w:spacing w:after="0" w:line="290" w:lineRule="auto"/>
        <w:tabs>
          <w:tab w:leader="none" w:pos="400" w:val="left"/>
        </w:tabs>
        <w:rPr>
          <w:sz w:val="20"/>
          <w:szCs w:val="20"/>
          <w:color w:val="auto"/>
        </w:rPr>
      </w:pPr>
      <w:r>
        <w:rPr>
          <w:rFonts w:ascii="Courier New" w:cs="Courier New" w:eastAsia="Courier New" w:hAnsi="Courier New"/>
          <w:sz w:val="16"/>
          <w:szCs w:val="16"/>
          <w:color w:val="auto"/>
        </w:rPr>
        <w:t>(C)</w:t>
        <w:tab/>
        <w:t>Record expense on debt incurred of $1,040.0 at an average rate of 7% to finance the acquisition.</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tabs>
          <w:tab w:leader="none" w:pos="4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72.8</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5920" w:space="720"/>
            <w:col w:w="3579"/>
          </w:cols>
          <w:pgMar w:left="240" w:top="717" w:right="1440" w:bottom="971" w:gutter="0" w:footer="0" w:header="0"/>
          <w:type w:val="continuous"/>
        </w:sectPr>
      </w:pPr>
    </w:p>
    <w:p>
      <w:pPr>
        <w:ind w:left="420" w:right="20" w:hanging="419"/>
        <w:spacing w:after="0" w:line="235" w:lineRule="auto"/>
        <w:tabs>
          <w:tab w:leader="none" w:pos="400" w:val="left"/>
        </w:tabs>
        <w:rPr>
          <w:sz w:val="20"/>
          <w:szCs w:val="20"/>
          <w:color w:val="auto"/>
        </w:rPr>
      </w:pPr>
      <w:r>
        <w:rPr>
          <w:rFonts w:ascii="Courier New" w:cs="Courier New" w:eastAsia="Courier New" w:hAnsi="Courier New"/>
          <w:sz w:val="18"/>
          <w:szCs w:val="18"/>
          <w:color w:val="auto"/>
        </w:rPr>
        <w:t>(D)</w:t>
        <w:tab/>
        <w:t>To record the income tax benefit associated with the pro forma adjustments.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(33.4)</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sectPr>
          <w:pgSz w:w="11900" w:h="16838" w:orient="portrait"/>
          <w:cols w:equalWidth="0" w:num="2">
            <w:col w:w="5920" w:space="720"/>
            <w:col w:w="3579"/>
          </w:cols>
          <w:pgMar w:left="240" w:top="717" w:right="1440" w:bottom="971" w:gutter="0" w:footer="0" w:header="0"/>
          <w:type w:val="continuous"/>
        </w:sectPr>
      </w:pPr>
    </w:p>
    <w:p>
      <w:pPr>
        <w:ind w:left="420" w:right="640" w:hanging="419"/>
        <w:spacing w:after="0" w:line="236" w:lineRule="auto"/>
        <w:tabs>
          <w:tab w:leader="none" w:pos="400" w:val="left"/>
        </w:tabs>
        <w:rPr>
          <w:sz w:val="20"/>
          <w:szCs w:val="20"/>
          <w:color w:val="auto"/>
        </w:rPr>
      </w:pPr>
      <w:r>
        <w:rPr>
          <w:rFonts w:ascii="Courier New" w:cs="Courier New" w:eastAsia="Courier New" w:hAnsi="Courier New"/>
          <w:sz w:val="18"/>
          <w:szCs w:val="18"/>
          <w:color w:val="auto"/>
        </w:rPr>
        <w:t>(E)</w:t>
        <w:tab/>
        <w:t>To record the goodwill and other intangibles related to the acquisition net of amortization for the period.</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spacing w:after="0"/>
        <w:tabs>
          <w:tab w:leader="none" w:pos="300" w:val="left"/>
        </w:tabs>
        <w:rPr>
          <w:sz w:val="20"/>
          <w:szCs w:val="20"/>
          <w:color w:val="auto"/>
        </w:rPr>
      </w:pPr>
      <w:r>
        <w:rPr>
          <w:rFonts w:ascii="Courier New" w:cs="Courier New" w:eastAsia="Courier New" w:hAnsi="Courier New"/>
          <w:sz w:val="16"/>
          <w:szCs w:val="16"/>
          <w:color w:val="auto"/>
        </w:rPr>
        <w:t>$</w:t>
        <w:tab/>
        <w:t>988.4</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ectPr>
          <w:pgSz w:w="11900" w:h="16838" w:orient="portrait"/>
          <w:cols w:equalWidth="0" w:num="2">
            <w:col w:w="5920" w:space="720"/>
            <w:col w:w="3579"/>
          </w:cols>
          <w:pgMar w:left="240" w:top="717" w:right="1440" w:bottom="971"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 Pro Forma adjustments to Current Liabilities:</w:t>
      </w:r>
    </w:p>
    <w:p>
      <w:pPr>
        <w:sectPr>
          <w:pgSz w:w="11900" w:h="16838" w:orient="portrait"/>
          <w:cols w:equalWidth="0" w:num="1">
            <w:col w:w="10219"/>
          </w:cols>
          <w:pgMar w:left="240" w:top="717" w:right="1440" w:bottom="971" w:gutter="0" w:footer="0" w:header="0"/>
          <w:type w:val="continuous"/>
        </w:sectPr>
      </w:pPr>
    </w:p>
    <w:p>
      <w:pPr>
        <w:spacing w:after="0" w:line="224" w:lineRule="exact"/>
        <w:rPr>
          <w:sz w:val="20"/>
          <w:szCs w:val="20"/>
          <w:color w:val="auto"/>
        </w:rPr>
      </w:pPr>
    </w:p>
    <w:p>
      <w:pPr>
        <w:ind w:left="860" w:right="4519" w:hanging="431"/>
        <w:spacing w:after="0" w:line="268" w:lineRule="auto"/>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the tax benefit associated with the pro forma adjustments assuming no deferred tax</w:t>
      </w:r>
    </w:p>
    <w:tbl>
      <w:tblPr>
        <w:tblLayout w:type="fixed"/>
        <w:tblInd w:w="420" w:type="dxa"/>
        <w:tblCellMar>
          <w:top w:w="0" w:type="dxa"/>
          <w:left w:w="0" w:type="dxa"/>
          <w:bottom w:w="0" w:type="dxa"/>
          <w:right w:w="0" w:type="dxa"/>
        </w:tblCellMar>
      </w:tblPr>
      <w:tr>
        <w:trPr>
          <w:trHeight w:val="199"/>
        </w:trPr>
        <w:tc>
          <w:tcPr>
            <w:tcW w:w="5320" w:type="dxa"/>
            <w:vAlign w:val="bottom"/>
          </w:tcPr>
          <w:p>
            <w:pPr>
              <w:ind w:left="440"/>
              <w:spacing w:after="0" w:line="198" w:lineRule="exact"/>
              <w:rPr>
                <w:sz w:val="20"/>
                <w:szCs w:val="20"/>
                <w:color w:val="auto"/>
              </w:rPr>
            </w:pPr>
            <w:r>
              <w:rPr>
                <w:rFonts w:ascii="Courier New" w:cs="Courier New" w:eastAsia="Courier New" w:hAnsi="Courier New"/>
                <w:sz w:val="18"/>
                <w:szCs w:val="18"/>
                <w:color w:val="auto"/>
              </w:rPr>
              <w:t>implications.</w:t>
            </w:r>
          </w:p>
        </w:tc>
        <w:tc>
          <w:tcPr>
            <w:tcW w:w="1120" w:type="dxa"/>
            <w:vAlign w:val="bottom"/>
          </w:tcPr>
          <w:p>
            <w:pPr>
              <w:jc w:val="right"/>
              <w:ind w:right="32"/>
              <w:spacing w:after="0" w:line="198"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(33.4)</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rPr>
              <w:t>(2) To accrue for capitalized professional</w:t>
            </w: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5320" w:type="dxa"/>
            <w:vAlign w:val="bottom"/>
          </w:tcPr>
          <w:p>
            <w:pPr>
              <w:ind w:left="440"/>
              <w:spacing w:after="0" w:line="203" w:lineRule="exact"/>
              <w:rPr>
                <w:sz w:val="20"/>
                <w:szCs w:val="20"/>
                <w:color w:val="auto"/>
              </w:rPr>
            </w:pPr>
            <w:r>
              <w:rPr>
                <w:rFonts w:ascii="Courier New" w:cs="Courier New" w:eastAsia="Courier New" w:hAnsi="Courier New"/>
                <w:sz w:val="18"/>
                <w:szCs w:val="18"/>
                <w:color w:val="auto"/>
              </w:rPr>
              <w:t>fees related to the transaction.</w:t>
            </w:r>
          </w:p>
        </w:tc>
        <w:tc>
          <w:tcPr>
            <w:tcW w:w="112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w:t>
            </w:r>
          </w:p>
        </w:tc>
      </w:tr>
      <w:tr>
        <w:trPr>
          <w:trHeight w:val="203"/>
        </w:trPr>
        <w:tc>
          <w:tcPr>
            <w:tcW w:w="5320" w:type="dxa"/>
            <w:vAlign w:val="bottom"/>
          </w:tcPr>
          <w:p>
            <w:pPr>
              <w:spacing w:after="0"/>
              <w:rPr>
                <w:sz w:val="17"/>
                <w:szCs w:val="17"/>
                <w:color w:val="auto"/>
              </w:rPr>
            </w:pPr>
          </w:p>
        </w:tc>
        <w:tc>
          <w:tcPr>
            <w:tcW w:w="1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rPr>
                <w:sz w:val="17"/>
                <w:szCs w:val="17"/>
                <w:color w:val="auto"/>
              </w:rPr>
            </w:pP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5320" w:type="dxa"/>
            <w:vAlign w:val="bottom"/>
          </w:tcPr>
          <w:p>
            <w:pPr>
              <w:spacing w:after="0"/>
              <w:rPr>
                <w:sz w:val="17"/>
                <w:szCs w:val="17"/>
                <w:color w:val="auto"/>
              </w:rPr>
            </w:pPr>
          </w:p>
        </w:tc>
        <w:tc>
          <w:tcPr>
            <w:tcW w:w="186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420" w:right="4519" w:hanging="412"/>
        <w:spacing w:after="0" w:line="268" w:lineRule="auto"/>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record debt incurred to finance the acquisition at the beginning of the year and make interest</w:t>
      </w:r>
    </w:p>
    <w:tbl>
      <w:tblPr>
        <w:tblLayout w:type="fixed"/>
        <w:tblInd w:w="0" w:type="dxa"/>
        <w:tblCellMar>
          <w:top w:w="0" w:type="dxa"/>
          <w:left w:w="0" w:type="dxa"/>
          <w:bottom w:w="0" w:type="dxa"/>
          <w:right w:w="0" w:type="dxa"/>
        </w:tblCellMar>
      </w:tblPr>
      <w:tr>
        <w:trPr>
          <w:trHeight w:val="199"/>
        </w:trPr>
        <w:tc>
          <w:tcPr>
            <w:tcW w:w="6180" w:type="dxa"/>
            <w:vAlign w:val="bottom"/>
            <w:gridSpan w:val="3"/>
          </w:tcPr>
          <w:p>
            <w:pPr>
              <w:ind w:left="420"/>
              <w:spacing w:after="0" w:line="198" w:lineRule="exact"/>
              <w:rPr>
                <w:sz w:val="20"/>
                <w:szCs w:val="20"/>
                <w:color w:val="auto"/>
              </w:rPr>
            </w:pPr>
            <w:r>
              <w:rPr>
                <w:rFonts w:ascii="Courier New" w:cs="Courier New" w:eastAsia="Courier New" w:hAnsi="Courier New"/>
                <w:sz w:val="18"/>
                <w:szCs w:val="18"/>
                <w:color w:val="auto"/>
              </w:rPr>
              <w:t>payments at the end of the year.</w:t>
            </w:r>
          </w:p>
        </w:tc>
        <w:tc>
          <w:tcPr>
            <w:tcW w:w="1420" w:type="dxa"/>
            <w:vAlign w:val="bottom"/>
          </w:tcPr>
          <w:p>
            <w:pPr>
              <w:ind w:left="460"/>
              <w:spacing w:after="0" w:line="198" w:lineRule="exact"/>
              <w:rPr>
                <w:sz w:val="20"/>
                <w:szCs w:val="20"/>
                <w:color w:val="auto"/>
              </w:rPr>
            </w:pPr>
            <w:r>
              <w:rPr>
                <w:rFonts w:ascii="Courier New" w:cs="Courier New" w:eastAsia="Courier New" w:hAnsi="Courier New"/>
                <w:sz w:val="18"/>
                <w:szCs w:val="18"/>
                <w:color w:val="auto"/>
              </w:rPr>
              <w:t>$1,112.8</w:t>
            </w:r>
          </w:p>
        </w:tc>
      </w:tr>
      <w:tr>
        <w:trPr>
          <w:trHeight w:val="203"/>
        </w:trPr>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(H) Pro</w:t>
            </w:r>
          </w:p>
        </w:tc>
        <w:tc>
          <w:tcPr>
            <w:tcW w:w="5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Forma adjustments to Shareholders' Equity:</w:t>
            </w:r>
          </w:p>
        </w:tc>
        <w:tc>
          <w:tcPr>
            <w:tcW w:w="1420" w:type="dxa"/>
            <w:vAlign w:val="bottom"/>
          </w:tcPr>
          <w:p>
            <w:pPr>
              <w:spacing w:after="0"/>
              <w:rPr>
                <w:sz w:val="17"/>
                <w:szCs w:val="17"/>
                <w:color w:val="auto"/>
              </w:rPr>
            </w:pP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To record</w:t>
            </w:r>
          </w:p>
        </w:tc>
        <w:tc>
          <w:tcPr>
            <w:tcW w:w="4320" w:type="dxa"/>
            <w:vAlign w:val="bottom"/>
          </w:tcPr>
          <w:p>
            <w:pPr>
              <w:ind w:left="40"/>
              <w:spacing w:after="0"/>
              <w:rPr>
                <w:sz w:val="20"/>
                <w:szCs w:val="20"/>
                <w:color w:val="auto"/>
              </w:rPr>
            </w:pPr>
            <w:r>
              <w:rPr>
                <w:rFonts w:ascii="Courier New" w:cs="Courier New" w:eastAsia="Courier New" w:hAnsi="Courier New"/>
                <w:sz w:val="18"/>
                <w:szCs w:val="18"/>
                <w:color w:val="auto"/>
              </w:rPr>
              <w:t>the net effect of the pro forma</w:t>
            </w:r>
          </w:p>
        </w:tc>
        <w:tc>
          <w:tcPr>
            <w:tcW w:w="14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5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adjustments above.</w:t>
            </w:r>
          </w:p>
        </w:tc>
        <w:tc>
          <w:tcPr>
            <w:tcW w:w="1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  (64.8)</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To record</w:t>
            </w:r>
          </w:p>
        </w:tc>
        <w:tc>
          <w:tcPr>
            <w:tcW w:w="4320" w:type="dxa"/>
            <w:vAlign w:val="bottom"/>
          </w:tcPr>
          <w:p>
            <w:pPr>
              <w:ind w:left="40"/>
              <w:spacing w:after="0"/>
              <w:rPr>
                <w:sz w:val="20"/>
                <w:szCs w:val="20"/>
                <w:color w:val="auto"/>
              </w:rPr>
            </w:pPr>
            <w:r>
              <w:rPr>
                <w:rFonts w:ascii="Courier New" w:cs="Courier New" w:eastAsia="Courier New" w:hAnsi="Courier New"/>
                <w:sz w:val="18"/>
                <w:szCs w:val="18"/>
                <w:color w:val="auto"/>
              </w:rPr>
              <w:t>the elimination of the shareholders'</w:t>
            </w:r>
          </w:p>
        </w:tc>
        <w:tc>
          <w:tcPr>
            <w:tcW w:w="1420" w:type="dxa"/>
            <w:vAlign w:val="bottom"/>
          </w:tcPr>
          <w:p>
            <w:pPr>
              <w:spacing w:after="0"/>
              <w:rPr>
                <w:sz w:val="24"/>
                <w:szCs w:val="24"/>
                <w:color w:val="auto"/>
              </w:rPr>
            </w:pPr>
          </w:p>
        </w:tc>
      </w:tr>
      <w:tr>
        <w:trPr>
          <w:trHeight w:val="203"/>
        </w:trPr>
        <w:tc>
          <w:tcPr>
            <w:tcW w:w="80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equity of</w:t>
            </w:r>
          </w:p>
        </w:tc>
        <w:tc>
          <w:tcPr>
            <w:tcW w:w="4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Kolynos</w:t>
            </w:r>
          </w:p>
        </w:tc>
        <w:tc>
          <w:tcPr>
            <w:tcW w:w="142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w w:val="95"/>
              </w:rPr>
              <w:t>(54.2)</w:t>
            </w:r>
          </w:p>
        </w:tc>
      </w:tr>
      <w:tr>
        <w:trPr>
          <w:trHeight w:val="203"/>
        </w:trPr>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 (119.0)</w:t>
            </w:r>
          </w:p>
        </w:tc>
      </w:tr>
      <w:tr>
        <w:trPr>
          <w:trHeight w:val="203"/>
        </w:trPr>
        <w:tc>
          <w:tcPr>
            <w:tcW w:w="8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4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NOTE 2.</w:t>
            </w:r>
          </w:p>
        </w:tc>
        <w:tc>
          <w:tcPr>
            <w:tcW w:w="1060" w:type="dxa"/>
            <w:vAlign w:val="bottom"/>
          </w:tcPr>
          <w:p>
            <w:pPr>
              <w:ind w:left="160"/>
              <w:spacing w:after="0"/>
              <w:rPr>
                <w:sz w:val="20"/>
                <w:szCs w:val="20"/>
                <w:color w:val="auto"/>
              </w:rPr>
            </w:pPr>
            <w:r>
              <w:rPr>
                <w:rFonts w:ascii="Courier New" w:cs="Courier New" w:eastAsia="Courier New" w:hAnsi="Courier New"/>
                <w:sz w:val="18"/>
                <w:szCs w:val="18"/>
                <w:color w:val="auto"/>
              </w:rPr>
              <w:t>Earnings</w:t>
            </w:r>
          </w:p>
        </w:tc>
        <w:tc>
          <w:tcPr>
            <w:tcW w:w="4320" w:type="dxa"/>
            <w:vAlign w:val="bottom"/>
          </w:tcPr>
          <w:p>
            <w:pPr>
              <w:ind w:left="40"/>
              <w:spacing w:after="0"/>
              <w:rPr>
                <w:sz w:val="20"/>
                <w:szCs w:val="20"/>
                <w:color w:val="auto"/>
              </w:rPr>
            </w:pPr>
            <w:r>
              <w:rPr>
                <w:rFonts w:ascii="Courier New" w:cs="Courier New" w:eastAsia="Courier New" w:hAnsi="Courier New"/>
                <w:sz w:val="18"/>
                <w:szCs w:val="18"/>
                <w:color w:val="auto"/>
              </w:rPr>
              <w:t>Per Share</w:t>
            </w:r>
          </w:p>
        </w:tc>
        <w:tc>
          <w:tcPr>
            <w:tcW w:w="1420" w:type="dxa"/>
            <w:vAlign w:val="bottom"/>
          </w:tcPr>
          <w:p>
            <w:pPr>
              <w:spacing w:after="0"/>
              <w:rPr>
                <w:sz w:val="24"/>
                <w:szCs w:val="24"/>
                <w:color w:val="auto"/>
              </w:rPr>
            </w:pPr>
          </w:p>
        </w:tc>
      </w:tr>
    </w:tbl>
    <w:p>
      <w:pPr>
        <w:spacing w:after="0" w:line="207" w:lineRule="exact"/>
        <w:rPr>
          <w:sz w:val="20"/>
          <w:szCs w:val="20"/>
          <w:color w:val="auto"/>
        </w:rPr>
      </w:pPr>
    </w:p>
    <w:p>
      <w:pPr>
        <w:ind w:left="220" w:right="1999"/>
        <w:spacing w:after="0" w:line="236" w:lineRule="auto"/>
        <w:rPr>
          <w:sz w:val="20"/>
          <w:szCs w:val="20"/>
          <w:color w:val="auto"/>
        </w:rPr>
      </w:pPr>
      <w:r>
        <w:rPr>
          <w:rFonts w:ascii="Courier New" w:cs="Courier New" w:eastAsia="Courier New" w:hAnsi="Courier New"/>
          <w:sz w:val="18"/>
          <w:szCs w:val="18"/>
          <w:color w:val="auto"/>
        </w:rPr>
        <w:t>Primary earnings per share are determined by dividing net income, after deducting preferred stock dividends net of related tax benefits of $21.6, by the weighted average shares.</w:t>
      </w:r>
    </w:p>
    <w:p>
      <w:pPr>
        <w:spacing w:after="0" w:line="209" w:lineRule="exact"/>
        <w:rPr>
          <w:sz w:val="20"/>
          <w:szCs w:val="20"/>
          <w:color w:val="auto"/>
        </w:rPr>
      </w:pPr>
    </w:p>
    <w:p>
      <w:pPr>
        <w:ind w:left="220" w:right="2199"/>
        <w:spacing w:after="0" w:line="237" w:lineRule="auto"/>
        <w:rPr>
          <w:sz w:val="20"/>
          <w:szCs w:val="20"/>
          <w:color w:val="auto"/>
        </w:rPr>
      </w:pPr>
      <w:r>
        <w:rPr>
          <w:rFonts w:ascii="Courier New" w:cs="Courier New" w:eastAsia="Courier New" w:hAnsi="Courier New"/>
          <w:sz w:val="18"/>
          <w:szCs w:val="18"/>
          <w:color w:val="auto"/>
        </w:rPr>
        <w:t>Fully diluted earnings per share are calculated assuming the conversion of all potentially dilutive securities, including convertible preferred stock and outstanding options, unless the effect of such conversion is antidilutive. This calculation also assumes, reduction of available income by pro forma ESOP replacement funding, net of income taxes.</w:t>
      </w:r>
    </w:p>
    <w:p>
      <w:pPr>
        <w:sectPr>
          <w:pgSz w:w="11900" w:h="16838" w:orient="portrait"/>
          <w:cols w:equalWidth="0" w:num="1">
            <w:col w:w="10219"/>
          </w:cols>
          <w:pgMar w:left="240" w:top="717" w:right="1440" w:bottom="971" w:gutter="0" w:footer="0" w:header="0"/>
          <w:type w:val="continuous"/>
        </w:sectPr>
      </w:pPr>
    </w:p>
    <w:bookmarkStart w:id="6" w:name="page7"/>
    <w:bookmarkEnd w:id="6"/>
    <w:p>
      <w:pPr>
        <w:ind w:left="358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amendment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80"/>
        <w:spacing w:after="0"/>
        <w:rPr>
          <w:sz w:val="20"/>
          <w:szCs w:val="20"/>
          <w:color w:val="auto"/>
        </w:rPr>
      </w:pPr>
      <w:r>
        <w:rPr>
          <w:rFonts w:ascii="Courier New" w:cs="Courier New" w:eastAsia="Courier New" w:hAnsi="Courier New"/>
          <w:sz w:val="16"/>
          <w:szCs w:val="16"/>
          <w:color w:val="auto"/>
        </w:rPr>
        <w:t>COLGATE-PALMOLIVE COMPANY</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March 23, 1995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199"/>
        <w:spacing w:after="0"/>
        <w:rPr>
          <w:sz w:val="20"/>
          <w:szCs w:val="20"/>
          <w:color w:val="auto"/>
        </w:rPr>
      </w:pPr>
      <w:r>
        <w:rPr>
          <w:rFonts w:ascii="Courier New" w:cs="Courier New" w:eastAsia="Courier New" w:hAnsi="Courier New"/>
          <w:sz w:val="16"/>
          <w:szCs w:val="16"/>
          <w:color w:val="auto"/>
        </w:rPr>
        <w:t>By:______________________</w:t>
      </w:r>
    </w:p>
    <w:p>
      <w:pPr>
        <w:spacing w:after="0" w:line="16"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Stephen C. Patrick</w:t>
      </w:r>
    </w:p>
    <w:p>
      <w:pPr>
        <w:jc w:val="center"/>
        <w:ind w:right="2099"/>
        <w:spacing w:after="0" w:line="238" w:lineRule="auto"/>
        <w:rPr>
          <w:sz w:val="20"/>
          <w:szCs w:val="20"/>
          <w:color w:val="auto"/>
        </w:rPr>
      </w:pPr>
      <w:r>
        <w:rPr>
          <w:rFonts w:ascii="Courier New" w:cs="Courier New" w:eastAsia="Courier New" w:hAnsi="Courier New"/>
          <w:sz w:val="18"/>
          <w:szCs w:val="18"/>
          <w:color w:val="auto"/>
        </w:rPr>
        <w:t>Vice President</w:t>
      </w:r>
    </w:p>
    <w:p>
      <w:pPr>
        <w:jc w:val="center"/>
        <w:ind w:right="2099"/>
        <w:spacing w:after="0"/>
        <w:rPr>
          <w:sz w:val="20"/>
          <w:szCs w:val="20"/>
          <w:color w:val="auto"/>
        </w:rPr>
      </w:pPr>
      <w:r>
        <w:rPr>
          <w:rFonts w:ascii="Courier New" w:cs="Courier New" w:eastAsia="Courier New" w:hAnsi="Courier New"/>
          <w:sz w:val="18"/>
          <w:szCs w:val="18"/>
          <w:color w:val="auto"/>
        </w:rPr>
        <w:t>Corporate Controller</w:t>
      </w:r>
    </w:p>
    <w:sectPr>
      <w:pgSz w:w="11900" w:h="16838" w:orient="portrait"/>
      <w:cols w:equalWidth="0" w:num="3">
        <w:col w:w="540" w:space="200"/>
        <w:col w:w="3920" w:space="720"/>
        <w:col w:w="483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lvl w:ilvl="1">
      <w:lvlJc w:val="left"/>
      <w:lvlText w:val="(%2)"/>
      <w:numFmt w:val="decimal"/>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upperLetter"/>
      <w:start w:val="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2019-12-12T22:57:01Z</dcterms:created>
  <dcterms:modified xsi:type="dcterms:W3CDTF">2019-12-12T22:57:01Z</dcterms:modified>
</cp:coreProperties>
</file>