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91"/>
        </w:trPr>
        <w:tc>
          <w:tcPr>
            <w:tcW w:w="740" w:type="dxa"/>
            <w:vAlign w:val="bottom"/>
          </w:tcPr>
          <w:p>
            <w:pPr>
              <w:spacing w:after="0"/>
              <w:rPr>
                <w:sz w:val="16"/>
                <w:szCs w:val="16"/>
                <w:color w:val="auto"/>
              </w:rPr>
            </w:pPr>
          </w:p>
        </w:tc>
        <w:tc>
          <w:tcPr>
            <w:tcW w:w="7200" w:type="dxa"/>
            <w:vAlign w:val="bottom"/>
            <w:gridSpan w:val="3"/>
          </w:tcPr>
          <w:p>
            <w:pPr>
              <w:jc w:val="center"/>
              <w:ind w:left="2520"/>
              <w:spacing w:after="0"/>
              <w:rPr>
                <w:sz w:val="20"/>
                <w:szCs w:val="20"/>
                <w:color w:val="auto"/>
              </w:rPr>
            </w:pPr>
            <w:r>
              <w:rPr>
                <w:rFonts w:ascii="Times New Roman" w:cs="Times New Roman" w:eastAsia="Times New Roman" w:hAnsi="Times New Roman"/>
                <w:sz w:val="16"/>
                <w:szCs w:val="16"/>
                <w:b w:val="1"/>
                <w:bCs w:val="1"/>
                <w:color w:val="auto"/>
                <w:w w:val="96"/>
              </w:rPr>
              <w:t>UNITED STATES SECURITIES AND EXCHANGE COMMISSION</w:t>
            </w:r>
          </w:p>
        </w:tc>
        <w:tc>
          <w:tcPr>
            <w:tcW w:w="0" w:type="dxa"/>
            <w:vAlign w:val="bottom"/>
          </w:tcPr>
          <w:p>
            <w:pPr>
              <w:spacing w:after="0"/>
              <w:rPr>
                <w:sz w:val="1"/>
                <w:szCs w:val="1"/>
                <w:color w:val="auto"/>
              </w:rPr>
            </w:pPr>
          </w:p>
        </w:tc>
      </w:tr>
      <w:tr>
        <w:trPr>
          <w:trHeight w:val="74"/>
        </w:trPr>
        <w:tc>
          <w:tcPr>
            <w:tcW w:w="740" w:type="dxa"/>
            <w:vAlign w:val="bottom"/>
          </w:tcPr>
          <w:p>
            <w:pPr>
              <w:spacing w:after="0"/>
              <w:rPr>
                <w:sz w:val="6"/>
                <w:szCs w:val="6"/>
                <w:color w:val="auto"/>
              </w:rPr>
            </w:pPr>
          </w:p>
        </w:tc>
        <w:tc>
          <w:tcPr>
            <w:tcW w:w="4560" w:type="dxa"/>
            <w:vAlign w:val="bottom"/>
            <w:vMerge w:val="restart"/>
          </w:tcPr>
          <w:p>
            <w:pPr>
              <w:ind w:left="2660"/>
              <w:spacing w:after="0" w:line="172" w:lineRule="exact"/>
              <w:rPr>
                <w:sz w:val="20"/>
                <w:szCs w:val="20"/>
                <w:color w:val="auto"/>
              </w:rPr>
            </w:pPr>
            <w:r>
              <w:rPr>
                <w:rFonts w:ascii="Times New Roman" w:cs="Times New Roman" w:eastAsia="Times New Roman" w:hAnsi="Times New Roman"/>
                <w:sz w:val="16"/>
                <w:szCs w:val="16"/>
                <w:b w:val="1"/>
                <w:bCs w:val="1"/>
                <w:color w:val="auto"/>
                <w:w w:val="95"/>
              </w:rPr>
              <w:t>WASHINGTON, D.C. 20549</w:t>
            </w:r>
          </w:p>
        </w:tc>
        <w:tc>
          <w:tcPr>
            <w:tcW w:w="2580" w:type="dxa"/>
            <w:vAlign w:val="bottom"/>
            <w:tcBorders>
              <w:bottom w:val="single" w:sz="8" w:color="auto"/>
            </w:tcBorders>
          </w:tcPr>
          <w:p>
            <w:pPr>
              <w:spacing w:after="0"/>
              <w:rPr>
                <w:sz w:val="6"/>
                <w:szCs w:val="6"/>
                <w:color w:val="auto"/>
              </w:rPr>
            </w:pPr>
          </w:p>
        </w:tc>
        <w:tc>
          <w:tcPr>
            <w:tcW w:w="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740" w:type="dxa"/>
            <w:vAlign w:val="bottom"/>
          </w:tcPr>
          <w:p>
            <w:pPr>
              <w:spacing w:after="0"/>
              <w:rPr>
                <w:sz w:val="6"/>
                <w:szCs w:val="6"/>
                <w:color w:val="auto"/>
              </w:rPr>
            </w:pPr>
          </w:p>
        </w:tc>
        <w:tc>
          <w:tcPr>
            <w:tcW w:w="4560" w:type="dxa"/>
            <w:vAlign w:val="bottom"/>
            <w:vMerge w:val="continue"/>
          </w:tcPr>
          <w:p>
            <w:pPr>
              <w:spacing w:after="0"/>
              <w:rPr>
                <w:sz w:val="6"/>
                <w:szCs w:val="6"/>
                <w:color w:val="auto"/>
              </w:rPr>
            </w:pPr>
          </w:p>
        </w:tc>
        <w:tc>
          <w:tcPr>
            <w:tcW w:w="25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 One)</w:t>
            </w:r>
          </w:p>
        </w:tc>
        <w:tc>
          <w:tcPr>
            <w:tcW w:w="7200" w:type="dxa"/>
            <w:vAlign w:val="bottom"/>
            <w:gridSpan w:val="3"/>
          </w:tcPr>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0" w:type="dxa"/>
            <w:vAlign w:val="bottom"/>
          </w:tcPr>
          <w:p>
            <w:pPr>
              <w:spacing w:after="0"/>
              <w:rPr>
                <w:sz w:val="1"/>
                <w:szCs w:val="1"/>
                <w:color w:val="auto"/>
              </w:rPr>
            </w:pPr>
          </w:p>
        </w:tc>
      </w:tr>
      <w:tr>
        <w:trPr>
          <w:trHeight w:val="157"/>
        </w:trPr>
        <w:tc>
          <w:tcPr>
            <w:tcW w:w="740" w:type="dxa"/>
            <w:vAlign w:val="bottom"/>
            <w:vMerge w:val="continue"/>
          </w:tcPr>
          <w:p>
            <w:pPr>
              <w:spacing w:after="0"/>
              <w:rPr>
                <w:sz w:val="13"/>
                <w:szCs w:val="13"/>
                <w:color w:val="auto"/>
              </w:rPr>
            </w:pPr>
          </w:p>
        </w:tc>
        <w:tc>
          <w:tcPr>
            <w:tcW w:w="45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74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7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bl>
    <w:p>
      <w:pPr>
        <w:spacing w:after="0" w:line="5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5" w:lineRule="exact"/>
        <w:rPr>
          <w:sz w:val="24"/>
          <w:szCs w:val="24"/>
          <w:color w:val="auto"/>
        </w:rPr>
      </w:pPr>
    </w:p>
    <w:p>
      <w:pPr>
        <w:ind w:left="800" w:hanging="781"/>
        <w:spacing w:after="0"/>
        <w:tabs>
          <w:tab w:leader="none" w:pos="8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580" w:type="dxa"/>
        <w:tblCellMar>
          <w:top w:w="0" w:type="dxa"/>
          <w:left w:w="0" w:type="dxa"/>
          <w:bottom w:w="0" w:type="dxa"/>
          <w:right w:w="0" w:type="dxa"/>
        </w:tblCellMar>
      </w:tblPr>
      <w:tr>
        <w:trPr>
          <w:trHeight w:val="149"/>
        </w:trPr>
        <w:tc>
          <w:tcPr>
            <w:tcW w:w="1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For the transition period from</w:t>
            </w:r>
          </w:p>
        </w:tc>
        <w:tc>
          <w:tcPr>
            <w:tcW w:w="98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w:t>
            </w:r>
          </w:p>
        </w:tc>
        <w:tc>
          <w:tcPr>
            <w:tcW w:w="1760" w:type="dxa"/>
            <w:vAlign w:val="bottom"/>
            <w:gridSpan w:val="2"/>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8"/>
        </w:trPr>
        <w:tc>
          <w:tcPr>
            <w:tcW w:w="16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File Number 1-644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3317875</wp:posOffset>
            </wp:positionH>
            <wp:positionV relativeFrom="paragraph">
              <wp:posOffset>-71755</wp:posOffset>
            </wp:positionV>
            <wp:extent cx="16440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4015" cy="6985"/>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1270</wp:posOffset>
            </wp:positionV>
            <wp:extent cx="3193415" cy="363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93415" cy="363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COLGATE-PALMOLIVE COMPANY</w:t>
      </w:r>
    </w:p>
    <w:p>
      <w:pPr>
        <w:spacing w:after="0" w:line="57" w:lineRule="exact"/>
        <w:rPr>
          <w:sz w:val="24"/>
          <w:szCs w:val="24"/>
          <w:color w:val="auto"/>
        </w:rPr>
      </w:pPr>
    </w:p>
    <w:tbl>
      <w:tblPr>
        <w:tblLayout w:type="fixed"/>
        <w:tblInd w:w="60" w:type="dxa"/>
        <w:tblCellMar>
          <w:top w:w="0" w:type="dxa"/>
          <w:left w:w="0" w:type="dxa"/>
          <w:bottom w:w="0" w:type="dxa"/>
          <w:right w:w="0" w:type="dxa"/>
        </w:tblCellMar>
      </w:tblPr>
      <w:tr>
        <w:trPr>
          <w:trHeight w:val="178"/>
        </w:trPr>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54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62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13-1815595</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40" w:type="dxa"/>
            <w:vAlign w:val="bottom"/>
            <w:gridSpan w:val="3"/>
          </w:tcPr>
          <w:p>
            <w:pPr>
              <w:jc w:val="center"/>
              <w:ind w:right="126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2620" w:type="dxa"/>
            <w:vAlign w:val="bottom"/>
          </w:tcPr>
          <w:p>
            <w:pPr>
              <w:jc w:val="center"/>
              <w:ind w:left="192"/>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4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300 Park Avenue</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54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New York, New York</w:t>
            </w:r>
          </w:p>
        </w:tc>
        <w:tc>
          <w:tcPr>
            <w:tcW w:w="2620" w:type="dxa"/>
            <w:vAlign w:val="bottom"/>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10022</w:t>
            </w: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4540" w:type="dxa"/>
            <w:vAlign w:val="bottom"/>
            <w:gridSpan w:val="3"/>
          </w:tcPr>
          <w:p>
            <w:pPr>
              <w:jc w:val="center"/>
              <w:ind w:right="12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20" w:type="dxa"/>
            <w:vAlign w:val="bottom"/>
          </w:tcPr>
          <w:p>
            <w:pPr>
              <w:jc w:val="center"/>
              <w:ind w:left="192"/>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85"/>
        </w:trPr>
        <w:tc>
          <w:tcPr>
            <w:tcW w:w="2840" w:type="dxa"/>
            <w:vAlign w:val="bottom"/>
            <w:gridSpan w:val="3"/>
            <w:vMerge w:val="continue"/>
          </w:tcPr>
          <w:p>
            <w:pPr>
              <w:spacing w:after="0"/>
              <w:rPr>
                <w:sz w:val="7"/>
                <w:szCs w:val="7"/>
                <w:color w:val="auto"/>
              </w:rPr>
            </w:pPr>
          </w:p>
        </w:tc>
        <w:tc>
          <w:tcPr>
            <w:tcW w:w="4540" w:type="dxa"/>
            <w:vAlign w:val="bottom"/>
            <w:gridSpan w:val="3"/>
            <w:vMerge w:val="restart"/>
          </w:tcPr>
          <w:p>
            <w:pPr>
              <w:jc w:val="center"/>
              <w:ind w:left="895"/>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212-310-2000</w:t>
            </w: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40" w:type="dxa"/>
            <w:vAlign w:val="bottom"/>
            <w:gridSpan w:val="3"/>
            <w:vMerge w:val="continue"/>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540" w:type="dxa"/>
            <w:vAlign w:val="bottom"/>
            <w:gridSpan w:val="3"/>
          </w:tcPr>
          <w:p>
            <w:pPr>
              <w:jc w:val="center"/>
              <w:ind w:left="875"/>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5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40" w:type="dxa"/>
            <w:vAlign w:val="bottom"/>
            <w:gridSpan w:val="3"/>
          </w:tcPr>
          <w:p>
            <w:pPr>
              <w:jc w:val="center"/>
              <w:ind w:left="552"/>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1440" w:type="dxa"/>
            <w:vAlign w:val="bottom"/>
          </w:tcPr>
          <w:p>
            <w:pPr>
              <w:spacing w:after="0"/>
              <w:rPr>
                <w:sz w:val="16"/>
                <w:szCs w:val="16"/>
                <w:color w:val="auto"/>
              </w:rPr>
            </w:pPr>
          </w:p>
        </w:tc>
        <w:tc>
          <w:tcPr>
            <w:tcW w:w="310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color w:val="auto"/>
              </w:rPr>
              <w:t>CL</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180"/>
        </w:trPr>
        <w:tc>
          <w:tcPr>
            <w:tcW w:w="2840" w:type="dxa"/>
            <w:vAlign w:val="bottom"/>
            <w:gridSpan w:val="3"/>
          </w:tcPr>
          <w:p>
            <w:pPr>
              <w:jc w:val="center"/>
              <w:ind w:left="572"/>
              <w:spacing w:after="0"/>
              <w:rPr>
                <w:sz w:val="20"/>
                <w:szCs w:val="20"/>
                <w:color w:val="auto"/>
              </w:rPr>
            </w:pPr>
            <w:r>
              <w:rPr>
                <w:rFonts w:ascii="Times New Roman" w:cs="Times New Roman" w:eastAsia="Times New Roman" w:hAnsi="Times New Roman"/>
                <w:sz w:val="14"/>
                <w:szCs w:val="14"/>
                <w:color w:val="auto"/>
              </w:rPr>
              <w:t>0.500% Notes due 2026</w:t>
            </w:r>
          </w:p>
        </w:tc>
        <w:tc>
          <w:tcPr>
            <w:tcW w:w="1440" w:type="dxa"/>
            <w:vAlign w:val="bottom"/>
          </w:tcPr>
          <w:p>
            <w:pPr>
              <w:spacing w:after="0"/>
              <w:rPr>
                <w:sz w:val="15"/>
                <w:szCs w:val="15"/>
                <w:color w:val="auto"/>
              </w:rPr>
            </w:pPr>
          </w:p>
        </w:tc>
        <w:tc>
          <w:tcPr>
            <w:tcW w:w="3100" w:type="dxa"/>
            <w:vAlign w:val="bottom"/>
            <w:gridSpan w:val="2"/>
          </w:tcPr>
          <w:p>
            <w:pPr>
              <w:jc w:val="center"/>
              <w:ind w:right="1980"/>
              <w:spacing w:after="0"/>
              <w:rPr>
                <w:sz w:val="20"/>
                <w:szCs w:val="20"/>
                <w:color w:val="auto"/>
              </w:rPr>
            </w:pPr>
            <w:r>
              <w:rPr>
                <w:rFonts w:ascii="Times New Roman" w:cs="Times New Roman" w:eastAsia="Times New Roman" w:hAnsi="Times New Roman"/>
                <w:sz w:val="14"/>
                <w:szCs w:val="14"/>
                <w:color w:val="auto"/>
              </w:rPr>
              <w:t>CL26</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180"/>
        </w:trPr>
        <w:tc>
          <w:tcPr>
            <w:tcW w:w="2840" w:type="dxa"/>
            <w:vAlign w:val="bottom"/>
            <w:gridSpan w:val="3"/>
          </w:tcPr>
          <w:p>
            <w:pPr>
              <w:jc w:val="center"/>
              <w:ind w:left="572"/>
              <w:spacing w:after="0"/>
              <w:rPr>
                <w:sz w:val="20"/>
                <w:szCs w:val="20"/>
                <w:color w:val="auto"/>
              </w:rPr>
            </w:pPr>
            <w:r>
              <w:rPr>
                <w:rFonts w:ascii="Times New Roman" w:cs="Times New Roman" w:eastAsia="Times New Roman" w:hAnsi="Times New Roman"/>
                <w:sz w:val="14"/>
                <w:szCs w:val="14"/>
                <w:color w:val="auto"/>
              </w:rPr>
              <w:t>0.300% Notes due 2029</w:t>
            </w:r>
          </w:p>
        </w:tc>
        <w:tc>
          <w:tcPr>
            <w:tcW w:w="1440" w:type="dxa"/>
            <w:vAlign w:val="bottom"/>
          </w:tcPr>
          <w:p>
            <w:pPr>
              <w:spacing w:after="0"/>
              <w:rPr>
                <w:sz w:val="15"/>
                <w:szCs w:val="15"/>
                <w:color w:val="auto"/>
              </w:rPr>
            </w:pPr>
          </w:p>
        </w:tc>
        <w:tc>
          <w:tcPr>
            <w:tcW w:w="3100" w:type="dxa"/>
            <w:vAlign w:val="bottom"/>
            <w:gridSpan w:val="2"/>
          </w:tcPr>
          <w:p>
            <w:pPr>
              <w:jc w:val="center"/>
              <w:ind w:right="1980"/>
              <w:spacing w:after="0"/>
              <w:rPr>
                <w:sz w:val="20"/>
                <w:szCs w:val="20"/>
                <w:color w:val="auto"/>
              </w:rPr>
            </w:pPr>
            <w:r>
              <w:rPr>
                <w:rFonts w:ascii="Times New Roman" w:cs="Times New Roman" w:eastAsia="Times New Roman" w:hAnsi="Times New Roman"/>
                <w:sz w:val="14"/>
                <w:szCs w:val="14"/>
                <w:color w:val="auto"/>
              </w:rPr>
              <w:t>CL29</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180"/>
        </w:trPr>
        <w:tc>
          <w:tcPr>
            <w:tcW w:w="2840" w:type="dxa"/>
            <w:vAlign w:val="bottom"/>
            <w:gridSpan w:val="3"/>
          </w:tcPr>
          <w:p>
            <w:pPr>
              <w:jc w:val="center"/>
              <w:ind w:left="572"/>
              <w:spacing w:after="0"/>
              <w:rPr>
                <w:sz w:val="20"/>
                <w:szCs w:val="20"/>
                <w:color w:val="auto"/>
              </w:rPr>
            </w:pPr>
            <w:r>
              <w:rPr>
                <w:rFonts w:ascii="Times New Roman" w:cs="Times New Roman" w:eastAsia="Times New Roman" w:hAnsi="Times New Roman"/>
                <w:sz w:val="14"/>
                <w:szCs w:val="14"/>
                <w:color w:val="auto"/>
              </w:rPr>
              <w:t>1.375% Notes due 2034</w:t>
            </w:r>
          </w:p>
        </w:tc>
        <w:tc>
          <w:tcPr>
            <w:tcW w:w="1440" w:type="dxa"/>
            <w:vAlign w:val="bottom"/>
          </w:tcPr>
          <w:p>
            <w:pPr>
              <w:spacing w:after="0"/>
              <w:rPr>
                <w:sz w:val="15"/>
                <w:szCs w:val="15"/>
                <w:color w:val="auto"/>
              </w:rPr>
            </w:pPr>
          </w:p>
        </w:tc>
        <w:tc>
          <w:tcPr>
            <w:tcW w:w="3100" w:type="dxa"/>
            <w:vAlign w:val="bottom"/>
            <w:gridSpan w:val="2"/>
          </w:tcPr>
          <w:p>
            <w:pPr>
              <w:jc w:val="center"/>
              <w:ind w:right="1980"/>
              <w:spacing w:after="0"/>
              <w:rPr>
                <w:sz w:val="20"/>
                <w:szCs w:val="20"/>
                <w:color w:val="auto"/>
              </w:rPr>
            </w:pPr>
            <w:r>
              <w:rPr>
                <w:rFonts w:ascii="Times New Roman" w:cs="Times New Roman" w:eastAsia="Times New Roman" w:hAnsi="Times New Roman"/>
                <w:sz w:val="14"/>
                <w:szCs w:val="14"/>
                <w:color w:val="auto"/>
              </w:rPr>
              <w:t>CL34</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184"/>
        </w:trPr>
        <w:tc>
          <w:tcPr>
            <w:tcW w:w="2840" w:type="dxa"/>
            <w:vAlign w:val="bottom"/>
            <w:gridSpan w:val="3"/>
          </w:tcPr>
          <w:p>
            <w:pPr>
              <w:jc w:val="center"/>
              <w:ind w:left="572"/>
              <w:spacing w:after="0"/>
              <w:rPr>
                <w:sz w:val="20"/>
                <w:szCs w:val="20"/>
                <w:color w:val="auto"/>
              </w:rPr>
            </w:pPr>
            <w:r>
              <w:rPr>
                <w:rFonts w:ascii="Times New Roman" w:cs="Times New Roman" w:eastAsia="Times New Roman" w:hAnsi="Times New Roman"/>
                <w:sz w:val="14"/>
                <w:szCs w:val="14"/>
                <w:color w:val="auto"/>
              </w:rPr>
              <w:t>0.875% Notes due 2039</w:t>
            </w:r>
          </w:p>
        </w:tc>
        <w:tc>
          <w:tcPr>
            <w:tcW w:w="1440" w:type="dxa"/>
            <w:vAlign w:val="bottom"/>
          </w:tcPr>
          <w:p>
            <w:pPr>
              <w:spacing w:after="0"/>
              <w:rPr>
                <w:sz w:val="16"/>
                <w:szCs w:val="16"/>
                <w:color w:val="auto"/>
              </w:rPr>
            </w:pPr>
          </w:p>
        </w:tc>
        <w:tc>
          <w:tcPr>
            <w:tcW w:w="3100" w:type="dxa"/>
            <w:vAlign w:val="bottom"/>
            <w:gridSpan w:val="2"/>
          </w:tcPr>
          <w:p>
            <w:pPr>
              <w:jc w:val="center"/>
              <w:ind w:right="1980"/>
              <w:spacing w:after="0"/>
              <w:rPr>
                <w:sz w:val="20"/>
                <w:szCs w:val="20"/>
                <w:color w:val="auto"/>
              </w:rPr>
            </w:pPr>
            <w:r>
              <w:rPr>
                <w:rFonts w:ascii="Times New Roman" w:cs="Times New Roman" w:eastAsia="Times New Roman" w:hAnsi="Times New Roman"/>
                <w:sz w:val="14"/>
                <w:szCs w:val="14"/>
                <w:color w:val="auto"/>
              </w:rPr>
              <w:t>CL39</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260" w:right="464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b w:val="1"/>
          <w:bCs w:val="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b w:val="1"/>
          <w:bCs w:val="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b w:val="1"/>
          <w:bCs w:val="1"/>
          <w:color w:val="auto"/>
        </w:rPr>
        <w:t xml:space="preserve"> No </w:t>
      </w:r>
      <w:r>
        <w:rPr>
          <w:rFonts w:ascii="MS PGothic" w:cs="MS PGothic" w:eastAsia="MS PGothic" w:hAnsi="MS PGothic"/>
          <w:sz w:val="11"/>
          <w:szCs w:val="11"/>
          <w:color w:val="auto"/>
        </w:rPr>
        <w:t>☒</w:t>
      </w:r>
    </w:p>
    <w:p>
      <w:pPr>
        <w:ind w:right="420" w:firstLine="255"/>
        <w:spacing w:after="0" w:line="143" w:lineRule="exact"/>
        <w:rPr>
          <w:sz w:val="20"/>
          <w:szCs w:val="20"/>
          <w:color w:val="auto"/>
        </w:rPr>
      </w:pPr>
      <w:r>
        <w:rPr>
          <w:rFonts w:ascii="Times New Roman" w:cs="Times New Roman" w:eastAsia="Times New Roman" w:hAnsi="Times New Roman"/>
          <w:sz w:val="11"/>
          <w:szCs w:val="11"/>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b w:val="1"/>
          <w:bCs w:val="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240" w:firstLine="255"/>
        <w:spacing w:after="0" w:line="138" w:lineRule="exact"/>
        <w:rPr>
          <w:sz w:val="20"/>
          <w:szCs w:val="20"/>
          <w:color w:val="auto"/>
        </w:rPr>
      </w:pPr>
      <w:r>
        <w:rPr>
          <w:rFonts w:ascii="Times New Roman" w:cs="Times New Roman" w:eastAsia="Times New Roman" w:hAnsi="Times New Roman"/>
          <w:sz w:val="11"/>
          <w:szCs w:val="11"/>
          <w:b w:val="1"/>
          <w:bCs w:val="1"/>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b w:val="1"/>
          <w:bCs w:val="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1"/>
          <w:szCs w:val="11"/>
          <w:b w:val="1"/>
          <w:bCs w:val="1"/>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68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“accelerated filer”, “smaller reporting company” and “emerging growth company” in Rule 12b-2 of the Exchange Act.</w:t>
            </w:r>
          </w:p>
        </w:tc>
        <w:tc>
          <w:tcPr>
            <w:tcW w:w="840" w:type="dxa"/>
            <w:vAlign w:val="bottom"/>
          </w:tcPr>
          <w:p>
            <w:pPr>
              <w:spacing w:after="0"/>
              <w:rPr>
                <w:sz w:val="12"/>
                <w:szCs w:val="12"/>
                <w:color w:val="auto"/>
              </w:rPr>
            </w:pPr>
          </w:p>
        </w:tc>
      </w:tr>
      <w:tr>
        <w:trPr>
          <w:trHeight w:val="164"/>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Large accelerated filer</w:t>
            </w:r>
          </w:p>
        </w:tc>
        <w:tc>
          <w:tcPr>
            <w:tcW w:w="19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rPr>
              <w:t>☒</w:t>
            </w:r>
          </w:p>
        </w:tc>
        <w:tc>
          <w:tcPr>
            <w:tcW w:w="2960" w:type="dxa"/>
            <w:vAlign w:val="bottom"/>
          </w:tcPr>
          <w:p>
            <w:pPr>
              <w:ind w:left="900"/>
              <w:spacing w:after="0"/>
              <w:rPr>
                <w:sz w:val="20"/>
                <w:szCs w:val="20"/>
                <w:color w:val="auto"/>
              </w:rPr>
            </w:pPr>
            <w:r>
              <w:rPr>
                <w:rFonts w:ascii="Times New Roman" w:cs="Times New Roman" w:eastAsia="Times New Roman" w:hAnsi="Times New Roman"/>
                <w:sz w:val="11"/>
                <w:szCs w:val="11"/>
                <w:b w:val="1"/>
                <w:bCs w:val="1"/>
                <w:color w:val="auto"/>
              </w:rPr>
              <w:t>Accelerated filer</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Non-accelerated filer</w:t>
            </w:r>
          </w:p>
        </w:tc>
        <w:tc>
          <w:tcPr>
            <w:tcW w:w="19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rPr>
              <w:t>☐</w:t>
            </w:r>
          </w:p>
        </w:tc>
        <w:tc>
          <w:tcPr>
            <w:tcW w:w="2960" w:type="dxa"/>
            <w:vAlign w:val="bottom"/>
          </w:tcPr>
          <w:p>
            <w:pPr>
              <w:ind w:left="900"/>
              <w:spacing w:after="0"/>
              <w:rPr>
                <w:sz w:val="20"/>
                <w:szCs w:val="20"/>
                <w:color w:val="auto"/>
              </w:rPr>
            </w:pPr>
            <w:r>
              <w:rPr>
                <w:rFonts w:ascii="Times New Roman" w:cs="Times New Roman" w:eastAsia="Times New Roman" w:hAnsi="Times New Roman"/>
                <w:sz w:val="11"/>
                <w:szCs w:val="11"/>
                <w:b w:val="1"/>
                <w:bCs w:val="1"/>
                <w:color w:val="auto"/>
              </w:rPr>
              <w:t>Smaller reporting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7"/>
        </w:trPr>
        <w:tc>
          <w:tcPr>
            <w:tcW w:w="20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960" w:type="dxa"/>
            <w:vAlign w:val="bottom"/>
          </w:tcPr>
          <w:p>
            <w:pPr>
              <w:ind w:left="900"/>
              <w:spacing w:after="0"/>
              <w:rPr>
                <w:sz w:val="20"/>
                <w:szCs w:val="20"/>
                <w:color w:val="auto"/>
              </w:rPr>
            </w:pPr>
            <w:r>
              <w:rPr>
                <w:rFonts w:ascii="Times New Roman" w:cs="Times New Roman" w:eastAsia="Times New Roman" w:hAnsi="Times New Roman"/>
                <w:sz w:val="11"/>
                <w:szCs w:val="11"/>
                <w:b w:val="1"/>
                <w:bCs w:val="1"/>
                <w:color w:val="auto"/>
              </w:rPr>
              <w:t>Emerging growth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1" w:lineRule="exact"/>
        <w:rPr>
          <w:sz w:val="24"/>
          <w:szCs w:val="24"/>
          <w:color w:val="auto"/>
        </w:rPr>
      </w:pPr>
    </w:p>
    <w:p>
      <w:pPr>
        <w:ind w:right="160" w:firstLine="255"/>
        <w:spacing w:after="0" w:line="151" w:lineRule="exact"/>
        <w:rPr>
          <w:sz w:val="20"/>
          <w:szCs w:val="20"/>
          <w:color w:val="auto"/>
        </w:rPr>
      </w:pPr>
      <w:r>
        <w:rPr>
          <w:rFonts w:ascii="Times New Roman" w:cs="Times New Roman" w:eastAsia="Times New Roman" w:hAnsi="Times New Roman"/>
          <w:sz w:val="11"/>
          <w:szCs w:val="11"/>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firstLine="255"/>
        <w:spacing w:after="0" w:line="138" w:lineRule="exact"/>
        <w:rPr>
          <w:sz w:val="20"/>
          <w:szCs w:val="20"/>
          <w:color w:val="auto"/>
        </w:rPr>
      </w:pPr>
      <w:r>
        <w:rPr>
          <w:rFonts w:ascii="Times New Roman" w:cs="Times New Roman" w:eastAsia="Times New Roman" w:hAnsi="Times New Roman"/>
          <w:sz w:val="11"/>
          <w:szCs w:val="11"/>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r>
        <w:rPr>
          <w:rFonts w:ascii="Times New Roman" w:cs="Times New Roman" w:eastAsia="Times New Roman" w:hAnsi="Times New Roman"/>
          <w:sz w:val="11"/>
          <w:szCs w:val="11"/>
          <w:b w:val="1"/>
          <w:bCs w:val="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340" w:firstLine="255"/>
        <w:spacing w:after="0" w:line="133" w:lineRule="exact"/>
        <w:rPr>
          <w:sz w:val="20"/>
          <w:szCs w:val="20"/>
          <w:color w:val="auto"/>
        </w:rPr>
      </w:pPr>
      <w:r>
        <w:rPr>
          <w:rFonts w:ascii="Times New Roman" w:cs="Times New Roman" w:eastAsia="Times New Roman" w:hAnsi="Times New Roman"/>
          <w:sz w:val="11"/>
          <w:szCs w:val="11"/>
          <w:b w:val="1"/>
          <w:bCs w:val="1"/>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highlight w:val="black"/>
        </w:rPr>
        <w:t>☐</w:t>
      </w:r>
    </w:p>
    <w:p>
      <w:pPr>
        <w:spacing w:after="0" w:line="1" w:lineRule="exact"/>
        <w:rPr>
          <w:sz w:val="24"/>
          <w:szCs w:val="24"/>
          <w:color w:val="auto"/>
        </w:rPr>
      </w:pPr>
    </w:p>
    <w:p>
      <w:pPr>
        <w:ind w:right="40" w:firstLine="255"/>
        <w:spacing w:after="0" w:line="141" w:lineRule="exact"/>
        <w:rPr>
          <w:sz w:val="20"/>
          <w:szCs w:val="20"/>
          <w:color w:val="auto"/>
        </w:rPr>
      </w:pPr>
      <w:r>
        <w:rPr>
          <w:rFonts w:ascii="Times New Roman" w:cs="Times New Roman" w:eastAsia="Times New Roman" w:hAnsi="Times New Roman"/>
          <w:sz w:val="11"/>
          <w:szCs w:val="11"/>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1"/>
          <w:szCs w:val="11"/>
          <w:color w:val="auto"/>
          <w:highlight w:val="black"/>
        </w:rPr>
        <w:t>☐</w:t>
      </w:r>
    </w:p>
    <w:p>
      <w:pPr>
        <w:spacing w:after="0" w:line="1" w:lineRule="exact"/>
        <w:rPr>
          <w:sz w:val="24"/>
          <w:szCs w:val="24"/>
          <w:color w:val="auto"/>
        </w:rPr>
      </w:pPr>
    </w:p>
    <w:p>
      <w:pPr>
        <w:ind w:left="260"/>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b w:val="1"/>
          <w:bCs w:val="1"/>
          <w:color w:val="auto"/>
        </w:rPr>
        <w:t xml:space="preserve"> No </w:t>
      </w:r>
      <w:r>
        <w:rPr>
          <w:rFonts w:ascii="MS PGothic" w:cs="MS PGothic" w:eastAsia="MS PGothic" w:hAnsi="MS PGothic"/>
          <w:sz w:val="11"/>
          <w:szCs w:val="11"/>
          <w:color w:val="auto"/>
        </w:rPr>
        <w:t>☒</w:t>
      </w:r>
    </w:p>
    <w:p>
      <w:pPr>
        <w:spacing w:after="0" w:line="24" w:lineRule="exact"/>
        <w:rPr>
          <w:sz w:val="24"/>
          <w:szCs w:val="24"/>
          <w:color w:val="auto"/>
        </w:rPr>
      </w:pPr>
    </w:p>
    <w:p>
      <w:pPr>
        <w:ind w:right="160" w:firstLine="255"/>
        <w:spacing w:after="0" w:line="241" w:lineRule="auto"/>
        <w:rPr>
          <w:sz w:val="20"/>
          <w:szCs w:val="20"/>
          <w:color w:val="auto"/>
        </w:rPr>
      </w:pPr>
      <w:r>
        <w:rPr>
          <w:rFonts w:ascii="Times New Roman" w:cs="Times New Roman" w:eastAsia="Times New Roman" w:hAnsi="Times New Roman"/>
          <w:sz w:val="13"/>
          <w:szCs w:val="13"/>
          <w:color w:val="auto"/>
        </w:rPr>
        <w:t>The aggregate market value of Colgate-Palmolive Company Common Stock held by non-affiliates as of June 30, 2022 (the last business day of its most recently completed second quarter) was approximately $66.8 billion.</w:t>
      </w:r>
    </w:p>
    <w:p>
      <w:pPr>
        <w:spacing w:after="0" w:line="2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color w:val="auto"/>
        </w:rPr>
        <w:t>There were 830,378,790 shares of Colgate-Palmolive Company Common Stock outstanding as of January 31, 2023.</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4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53"/>
        </w:trPr>
        <w:tc>
          <w:tcPr>
            <w:tcW w:w="3020" w:type="dxa"/>
            <w:vAlign w:val="bottom"/>
          </w:tcPr>
          <w:p>
            <w:pPr>
              <w:spacing w:after="0"/>
              <w:rPr>
                <w:sz w:val="13"/>
                <w:szCs w:val="13"/>
                <w:color w:val="auto"/>
              </w:rPr>
            </w:pPr>
          </w:p>
        </w:tc>
        <w:tc>
          <w:tcPr>
            <w:tcW w:w="4640" w:type="dxa"/>
            <w:vAlign w:val="bottom"/>
            <w:gridSpan w:val="2"/>
          </w:tcPr>
          <w:p>
            <w:pPr>
              <w:jc w:val="center"/>
              <w:ind w:right="3976"/>
              <w:spacing w:after="0"/>
              <w:rPr>
                <w:sz w:val="20"/>
                <w:szCs w:val="20"/>
                <w:color w:val="auto"/>
              </w:rPr>
            </w:pPr>
            <w:r>
              <w:rPr>
                <w:rFonts w:ascii="Times New Roman" w:cs="Times New Roman" w:eastAsia="Times New Roman" w:hAnsi="Times New Roman"/>
                <w:sz w:val="13"/>
                <w:szCs w:val="13"/>
                <w:b w:val="1"/>
                <w:bCs w:val="1"/>
                <w:color w:val="auto"/>
                <w:w w:val="96"/>
              </w:rPr>
              <w:t>Documents</w:t>
            </w:r>
          </w:p>
        </w:tc>
        <w:tc>
          <w:tcPr>
            <w:tcW w:w="3620" w:type="dxa"/>
            <w:vAlign w:val="bottom"/>
            <w:gridSpan w:val="3"/>
          </w:tcPr>
          <w:p>
            <w:pPr>
              <w:jc w:val="center"/>
              <w:ind w:right="1080"/>
              <w:spacing w:after="0"/>
              <w:rPr>
                <w:sz w:val="20"/>
                <w:szCs w:val="20"/>
                <w:color w:val="auto"/>
              </w:rPr>
            </w:pPr>
            <w:r>
              <w:rPr>
                <w:rFonts w:ascii="Times New Roman" w:cs="Times New Roman" w:eastAsia="Times New Roman" w:hAnsi="Times New Roman"/>
                <w:sz w:val="13"/>
                <w:szCs w:val="13"/>
                <w:b w:val="1"/>
                <w:bCs w:val="1"/>
                <w:color w:val="auto"/>
                <w:w w:val="97"/>
              </w:rPr>
              <w:t>Form 10-K Reference</w:t>
            </w:r>
          </w:p>
        </w:tc>
      </w:tr>
      <w:tr>
        <w:trPr>
          <w:trHeight w:val="20"/>
        </w:trPr>
        <w:tc>
          <w:tcPr>
            <w:tcW w:w="3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77"/>
        </w:trPr>
        <w:tc>
          <w:tcPr>
            <w:tcW w:w="7660" w:type="dxa"/>
            <w:vAlign w:val="bottom"/>
            <w:gridSpan w:val="3"/>
          </w:tcPr>
          <w:p>
            <w:pPr>
              <w:jc w:val="center"/>
              <w:ind w:right="956"/>
              <w:spacing w:after="0"/>
              <w:rPr>
                <w:sz w:val="20"/>
                <w:szCs w:val="20"/>
                <w:color w:val="auto"/>
              </w:rPr>
            </w:pPr>
            <w:r>
              <w:rPr>
                <w:rFonts w:ascii="Times New Roman" w:cs="Times New Roman" w:eastAsia="Times New Roman" w:hAnsi="Times New Roman"/>
                <w:sz w:val="13"/>
                <w:szCs w:val="13"/>
                <w:color w:val="auto"/>
                <w:w w:val="98"/>
              </w:rPr>
              <w:t>Portions of Proxy Statement for the 2023 Annual Meeting of Stockholders</w:t>
            </w:r>
          </w:p>
        </w:tc>
        <w:tc>
          <w:tcPr>
            <w:tcW w:w="3620" w:type="dxa"/>
            <w:vAlign w:val="bottom"/>
            <w:gridSpan w:val="3"/>
          </w:tcPr>
          <w:p>
            <w:pPr>
              <w:jc w:val="center"/>
              <w:ind w:right="1080"/>
              <w:spacing w:after="0"/>
              <w:rPr>
                <w:sz w:val="20"/>
                <w:szCs w:val="20"/>
                <w:color w:val="auto"/>
              </w:rPr>
            </w:pPr>
            <w:r>
              <w:rPr>
                <w:rFonts w:ascii="Times New Roman" w:cs="Times New Roman" w:eastAsia="Times New Roman" w:hAnsi="Times New Roman"/>
                <w:sz w:val="13"/>
                <w:szCs w:val="13"/>
                <w:color w:val="auto"/>
                <w:w w:val="98"/>
              </w:rPr>
              <w:t>Part III, Items 10 through 14</w:t>
            </w:r>
          </w:p>
        </w:tc>
      </w:tr>
      <w:tr>
        <w:trPr>
          <w:trHeight w:val="419"/>
        </w:trPr>
        <w:tc>
          <w:tcPr>
            <w:tcW w:w="3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5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4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tc>
        <w:tc>
          <w:tcPr>
            <w:tcW w:w="620" w:type="dxa"/>
            <w:vAlign w:val="bottom"/>
          </w:tcPr>
          <w:p>
            <w:pPr>
              <w:spacing w:after="0"/>
              <w:rPr>
                <w:sz w:val="14"/>
                <w:szCs w:val="14"/>
                <w:color w:val="auto"/>
              </w:rPr>
            </w:pPr>
          </w:p>
        </w:tc>
      </w:tr>
      <w:tr>
        <w:trPr>
          <w:trHeight w:val="186"/>
        </w:trPr>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40" w:type="dxa"/>
            <w:vAlign w:val="bottom"/>
          </w:tcPr>
          <w:p>
            <w:pPr>
              <w:ind w:left="4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20" w:type="dxa"/>
            <w:vAlign w:val="bottom"/>
          </w:tcPr>
          <w:p>
            <w:pPr>
              <w:spacing w:after="0"/>
              <w:rPr>
                <w:sz w:val="16"/>
                <w:szCs w:val="16"/>
                <w:color w:val="auto"/>
              </w:rPr>
            </w:pPr>
          </w:p>
        </w:tc>
      </w:tr>
      <w:tr>
        <w:trPr>
          <w:trHeight w:val="202"/>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20" w:type="dxa"/>
            <w:vAlign w:val="bottom"/>
          </w:tcPr>
          <w:p>
            <w:pPr>
              <w:spacing w:after="0"/>
              <w:rPr>
                <w:sz w:val="17"/>
                <w:szCs w:val="17"/>
                <w:color w:val="auto"/>
              </w:rPr>
            </w:pPr>
          </w:p>
        </w:tc>
        <w:tc>
          <w:tcPr>
            <w:tcW w:w="9640" w:type="dxa"/>
            <w:vAlign w:val="bottom"/>
          </w:tcPr>
          <w:p>
            <w:pPr>
              <w:spacing w:after="0"/>
              <w:rPr>
                <w:sz w:val="17"/>
                <w:szCs w:val="17"/>
                <w:color w:val="auto"/>
              </w:rPr>
            </w:pP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Page</w:t>
            </w:r>
          </w:p>
        </w:tc>
      </w:tr>
      <w:tr>
        <w:trPr>
          <w:trHeight w:val="171"/>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Business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1A.</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Risk Factors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1B.</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Properties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Legal Proceedings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Mine Safety Disclosures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r>
      <w:tr>
        <w:trPr>
          <w:trHeight w:val="180"/>
        </w:trPr>
        <w:tc>
          <w:tcPr>
            <w:tcW w:w="1020" w:type="dxa"/>
            <w:vAlign w:val="bottom"/>
            <w:gridSpan w:val="2"/>
            <w:shd w:val="clear" w:color="auto" w:fill="CCEEFF"/>
          </w:tcPr>
          <w:p>
            <w:pPr>
              <w:spacing w:after="0"/>
              <w:rPr>
                <w:sz w:val="15"/>
                <w:szCs w:val="15"/>
                <w:color w:val="auto"/>
              </w:rPr>
            </w:pPr>
          </w:p>
        </w:tc>
        <w:tc>
          <w:tcPr>
            <w:tcW w:w="9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6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[Reserved]</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w:t>
            </w: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7A.</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9A.</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Controls and Procedures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9B.</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Information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9C.</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r>
        <w:trPr>
          <w:trHeight w:val="202"/>
        </w:trPr>
        <w:tc>
          <w:tcPr>
            <w:tcW w:w="1020" w:type="dxa"/>
            <w:vAlign w:val="bottom"/>
            <w:gridSpan w:val="2"/>
          </w:tcPr>
          <w:p>
            <w:pPr>
              <w:spacing w:after="0"/>
              <w:rPr>
                <w:sz w:val="17"/>
                <w:szCs w:val="17"/>
                <w:color w:val="auto"/>
              </w:rPr>
            </w:pPr>
          </w:p>
        </w:tc>
        <w:tc>
          <w:tcPr>
            <w:tcW w:w="9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0"/>
        </w:trPr>
        <w:tc>
          <w:tcPr>
            <w:tcW w:w="1020" w:type="dxa"/>
            <w:vAlign w:val="bottom"/>
            <w:gridSpan w:val="2"/>
            <w:shd w:val="clear" w:color="auto" w:fill="CCEEFF"/>
          </w:tcPr>
          <w:p>
            <w:pPr>
              <w:jc w:val="center"/>
              <w:ind w:right="449"/>
              <w:spacing w:after="0"/>
              <w:rPr>
                <w:sz w:val="20"/>
                <w:szCs w:val="20"/>
                <w:color w:val="auto"/>
              </w:rPr>
            </w:pPr>
            <w:r>
              <w:rPr>
                <w:rFonts w:ascii="Times New Roman" w:cs="Times New Roman" w:eastAsia="Times New Roman" w:hAnsi="Times New Roman"/>
                <w:sz w:val="14"/>
                <w:szCs w:val="14"/>
                <w:b w:val="1"/>
                <w:bCs w:val="1"/>
                <w:color w:val="auto"/>
                <w:w w:val="99"/>
              </w:rPr>
              <w:t>Part III</w:t>
            </w:r>
          </w:p>
        </w:tc>
        <w:tc>
          <w:tcPr>
            <w:tcW w:w="9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Executive Compensation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r>
      <w:tr>
        <w:trPr>
          <w:trHeight w:val="202"/>
        </w:trPr>
        <w:tc>
          <w:tcPr>
            <w:tcW w:w="1020" w:type="dxa"/>
            <w:vAlign w:val="bottom"/>
            <w:gridSpan w:val="2"/>
            <w:shd w:val="clear" w:color="auto" w:fill="CCEEFF"/>
          </w:tcPr>
          <w:p>
            <w:pPr>
              <w:spacing w:after="0"/>
              <w:rPr>
                <w:sz w:val="17"/>
                <w:szCs w:val="17"/>
                <w:color w:val="auto"/>
              </w:rPr>
            </w:pPr>
          </w:p>
        </w:tc>
        <w:tc>
          <w:tcPr>
            <w:tcW w:w="9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80"/>
        </w:trPr>
        <w:tc>
          <w:tcPr>
            <w:tcW w:w="1020" w:type="dxa"/>
            <w:vAlign w:val="bottom"/>
            <w:gridSpan w:val="2"/>
          </w:tcPr>
          <w:p>
            <w:pPr>
              <w:jc w:val="center"/>
              <w:ind w:right="449"/>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96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15.</w:t>
            </w: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Exhibits and Financial Statement Schedules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r>
      <w:tr>
        <w:trPr>
          <w:trHeight w:val="180"/>
        </w:trPr>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Item</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9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Form 10-K Summary</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r>
      <w:tr>
        <w:trPr>
          <w:trHeight w:val="180"/>
        </w:trPr>
        <w:tc>
          <w:tcPr>
            <w:tcW w:w="1020" w:type="dxa"/>
            <w:vAlign w:val="bottom"/>
            <w:gridSpan w:val="2"/>
            <w:shd w:val="clear" w:color="auto" w:fill="CCEEFF"/>
          </w:tcPr>
          <w:p>
            <w:pPr>
              <w:spacing w:after="0"/>
              <w:rPr>
                <w:sz w:val="15"/>
                <w:szCs w:val="15"/>
                <w:color w:val="auto"/>
              </w:rPr>
            </w:pPr>
          </w:p>
        </w:tc>
        <w:tc>
          <w:tcPr>
            <w:tcW w:w="9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6"/>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96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r>
      <w:tr>
        <w:trPr>
          <w:trHeight w:val="1110"/>
        </w:trPr>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BUSINESS</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 General Development of the Business</w:t>
      </w:r>
    </w:p>
    <w:p>
      <w:pPr>
        <w:spacing w:after="0" w:line="200" w:lineRule="exact"/>
        <w:rPr>
          <w:sz w:val="20"/>
          <w:szCs w:val="20"/>
          <w:color w:val="auto"/>
        </w:rPr>
      </w:pPr>
    </w:p>
    <w:p>
      <w:pPr>
        <w:ind w:firstLine="255"/>
        <w:spacing w:after="0" w:line="249" w:lineRule="auto"/>
        <w:rPr>
          <w:sz w:val="20"/>
          <w:szCs w:val="20"/>
          <w:color w:val="auto"/>
        </w:rPr>
      </w:pPr>
      <w:r>
        <w:rPr>
          <w:rFonts w:ascii="Times New Roman" w:cs="Times New Roman" w:eastAsia="Times New Roman" w:hAnsi="Times New Roman"/>
          <w:sz w:val="14"/>
          <w:szCs w:val="14"/>
          <w:color w:val="auto"/>
        </w:rPr>
        <w:t>Colgate-Palmolive Company (together with its subsidiaries, “we,” “us,” “our,” the “Company” or “Colgate”) is a caring, innovative growth company reimagining a healthier future for all people, their pets and our planet. We seek to deliver sustainable, profitable growth through science-led, core and premium innovation and superior shareholder returns, as well as provide Colgate people with an innovative and inclusive work environment. We do this by developing and selling products globally that make people’s and their pets’ lives healthier and more enjoyable and by embracing our sustainability and social impact and diversity, equity and inclusion (“DE&amp;I”) strategies across our organization. Our products are marketed in over 200 countries and territories throughout the world. Colgate was founded in 1806 and incorporated under the laws of the State of Delaware in 1923.</w:t>
      </w:r>
    </w:p>
    <w:p>
      <w:pPr>
        <w:spacing w:after="0" w:line="173" w:lineRule="exact"/>
        <w:rPr>
          <w:sz w:val="20"/>
          <w:szCs w:val="20"/>
          <w:color w:val="auto"/>
        </w:rPr>
      </w:pPr>
    </w:p>
    <w:p>
      <w:pPr>
        <w:ind w:right="320" w:firstLine="255"/>
        <w:spacing w:after="0" w:line="271" w:lineRule="auto"/>
        <w:rPr>
          <w:sz w:val="20"/>
          <w:szCs w:val="20"/>
          <w:color w:val="auto"/>
        </w:rPr>
      </w:pPr>
      <w:r>
        <w:rPr>
          <w:rFonts w:ascii="Times New Roman" w:cs="Times New Roman" w:eastAsia="Times New Roman" w:hAnsi="Times New Roman"/>
          <w:sz w:val="14"/>
          <w:szCs w:val="14"/>
          <w:color w:val="auto"/>
        </w:rPr>
        <w:t>For recent business developments and other information, refer to the information set forth under the captions “Management’s Discussion and Analysis of Financial Condition and Results of Operations–Executive Overview,” “– Outlook,” “–Results of Operations” and “– Liquidity and Capital Resources” in Part II, Item 7 of this report.</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 Narrative Description of the Business</w:t>
      </w:r>
    </w:p>
    <w:p>
      <w:pPr>
        <w:spacing w:after="0" w:line="200"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We operate in two product segments: Oral, Personal and Home Care; and Pet Nutrition. We are a leader in Oral Care with global leadership in the toothpaste and manual toothbrush categories according to market share data. We sell our toothpastes under brands such as Colgate, Darlie, elmex, hello, meridol, Sorriso and Tom’s of Maine, our toothbrushes under brands such as Colgate, Darlie, elmex and meridol and our mouthwashes under brands such as Colgate, elmex and meridol. Our Oral Care business also includes pharmaceutical products for dentists and other oral health professionals.</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a leader in many product categories of the Personal Care market with global leadership in liquid hand soap, according to market share data, which we sell under brands such as Palmolive, Protex and Softsoap. Our Personal Care products also include Irish Spring, Palmolive and Protex bar soaps, Irish Spring, Palmolive, Sanex and Softsoap shower gels, Lady Speed Stick, Sanex, Speed Stick and Tom’s of Maine deodorants and antiperspirants, EltaMD, Filorga and PCA SKIN skin health products and Palmolive shampoos and conditioners.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manufacture and market a wide array of products for the Home Care market, including Ajax, Axion and Palmolive dishwashing liquids and Ajax, Fabuloso and Murphy household cleaners.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market leader in fabric conditioners with leading brands, including Suavitel in Latin America, Soupline in Europe, and Cuddly in the South Pacific, according to market share data.</w:t>
      </w:r>
    </w:p>
    <w:p>
      <w:pPr>
        <w:spacing w:after="0" w:line="185"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Sales of Oral, Personal and Home Care products accounted for 43%, 19% and 17%, respectively, of our total worldwide Net sales in 2022. Geographically, Oral Care is a significant part of our business in Asia Pacific, comprising approximately 82% of Net sales in that region for 2022.</w:t>
      </w:r>
    </w:p>
    <w:p>
      <w:pPr>
        <w:spacing w:after="0" w:line="145"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Through our Hill’s Pet Nutrition segment (“Hill’s” or “Pet Nutrition”), we are a world leader in specialty pet nutrition products for dogs and cats with products marketed in over 80 countries and territories worldwide. Hill’s markets pet foods primarily under two brands. Hill’s Science Diet, which is called Hill’s Science Plan in Europe, is a range of products for everyday nutritional needs. Hill’s Prescription Diet is a range of therapeutic pet foods to help nutritionally support dogs and cats in various different stages of health. Sales of Pet Nutrition products accounted for 21% of our total worldwide Net sales in 2022.</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regarding our worldwide Net sales by product category, refer to Note 1, Nature of Operations and Note 14, Segment Information to the Consolidated Financial Statements.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additional information regarding market share data, see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Market Share Information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in Part II, Item 7 of this report.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7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Distribution; Raw Materials; Competition; Trademarks and Patents</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Our Oral, Personal and Home Care products are sold to a variety of traditional and eCommerce retailers, wholesalers and distributors worldwide. Pet Nutrition products are sold by authorized pet supply retailers, veterinarians and eCommerce retailers. Certain of our products are also sold direct-to-consumer. Our sales to Walmart, Inc. and its affiliates represent approximately 11% of our Net sales in 2022. No other customer represents more than 10% of our Net sales. We support our products with advertising, promotion and other marketing (with increasing emphasis on digital) to build awareness and trial of our products. Our products are marketed by a direct sales force at individual operating subsidiaries or business units and by distributors or brokers.</w:t>
      </w:r>
    </w:p>
    <w:p>
      <w:pPr>
        <w:spacing w:after="0" w:line="162" w:lineRule="exact"/>
        <w:rPr>
          <w:sz w:val="20"/>
          <w:szCs w:val="20"/>
          <w:color w:val="auto"/>
        </w:rPr>
      </w:pPr>
    </w:p>
    <w:p>
      <w:pPr>
        <w:ind w:right="140" w:firstLine="255"/>
        <w:spacing w:after="0" w:line="259" w:lineRule="auto"/>
        <w:rPr>
          <w:sz w:val="20"/>
          <w:szCs w:val="20"/>
          <w:color w:val="auto"/>
        </w:rPr>
      </w:pPr>
      <w:r>
        <w:rPr>
          <w:rFonts w:ascii="Times New Roman" w:cs="Times New Roman" w:eastAsia="Times New Roman" w:hAnsi="Times New Roman"/>
          <w:sz w:val="14"/>
          <w:szCs w:val="14"/>
          <w:color w:val="auto"/>
        </w:rPr>
        <w:t>The majority of raw and packaging materials used in our products are purchased from other companies and are available from several sources. No single raw or packaging material represents, and no single supplier provides, a significant portion of our total material requirements. We do, however, purchase certain key raw and packaging materials from single-source suppliers or a limited number of suppliers. For certain materials, new suppliers may have to be qualified under industry, governmental and/or Colgate standards, which can require additional investment and take a significant period of time. Raw and packaging material commodities, such as essential oils, resins, tropical oils, pulp, tallow, corn, poultry and soybeans, are subject to market price variations. For further information regarding the impact of changes in commodity prices, see Item 1A, “Risk Factors - Volatility in material and other costs could adversely impact our profitability” and Item 7, “Management’s Discussion and Analysis of Financial Condition and Results of Operations.”</w:t>
      </w:r>
    </w:p>
    <w:p>
      <w:pPr>
        <w:spacing w:after="0" w:line="16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Our products are sold in a highly competitive global marketplace which has experienced increased retail trade concentration, the substantial growth of eCommerce, the integration of traditional and digital operations at key retailers and the growing presence of large-format retailers, discounters and eCommerce retailers. Products similar to those that we produce and sell are available from multinational and local competitors in the U.S. and around the world. Certain of our competitors are larger and have greater resources than we do. In addition, the substantial growth in eCommerce has encouraged the entry of new competitors and business models. In certain geographies, we also face strong local competitors, who may be more agile and have better local consumer insights than we do. Private label brands sold by retailers are also a source of competition for certain of our products.</w:t>
      </w:r>
    </w:p>
    <w:p>
      <w:pPr>
        <w:spacing w:after="0" w:line="164"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retail landscape in many of our markets continues to evolve as a result of the continued growth of eCommerce, changing consumer behavior and preferences (as consumers increasingly shop online and via mobile and social applications) and the increased presence of alternative retail channels, such as subscription services and direct-to-consumer businesses. We face competition in several aspects of our business, including pricing, promotional activities, new products and brand introductions and expansion into new geographies and channels. Product quality, innovation, brand recognition, marketing capability and acceptance of new products and brands largely determine success in Colgate's operating segments.</w:t>
      </w:r>
    </w:p>
    <w:p>
      <w:pPr>
        <w:spacing w:after="0" w:line="16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consider trademarks to be of material importance to our business. We follow a practice of seeking trademark protection in the U.S. and throughout the world where our products are sold. Principal global and regional trademarks include Colgate, Palmolive, elmex, hello, meridol, Sorriso, Tom’s of Maine, EltaMD, Filorga, Irish Spring, Lady Speed Stick, PCA SKIN, Protex, Sanex, Softsoap, Speed Stick, Ajax, Axion, Fabuloso, Murphy, Soupline and Suavitel, as well as Hill’s Science Diet and Hill’s Prescription Diet. Our rights in these trademarks endure for as long as they are used and/or registered. Although we actively develop and maintain a portfolio of patents, no single patent is considered significant to the business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COVID-19</w:t>
      </w:r>
    </w:p>
    <w:p>
      <w:pPr>
        <w:spacing w:after="0" w:line="191" w:lineRule="exact"/>
        <w:rPr>
          <w:sz w:val="20"/>
          <w:szCs w:val="20"/>
          <w:color w:val="auto"/>
        </w:rPr>
      </w:pPr>
    </w:p>
    <w:p>
      <w:pPr>
        <w:ind w:firstLine="255"/>
        <w:spacing w:after="0" w:line="242" w:lineRule="auto"/>
        <w:rPr>
          <w:sz w:val="20"/>
          <w:szCs w:val="20"/>
          <w:color w:val="auto"/>
        </w:rPr>
      </w:pPr>
      <w:r>
        <w:rPr>
          <w:rFonts w:ascii="Times New Roman" w:cs="Times New Roman" w:eastAsia="Times New Roman" w:hAnsi="Times New Roman"/>
          <w:sz w:val="14"/>
          <w:szCs w:val="14"/>
          <w:color w:val="auto"/>
        </w:rPr>
        <w:t>The COVID-19 pandemic and government steps to reduce the spread and address the impact of COVID-19 have had and continue to have an impact on the way people live, work, interact and shop. During the COVID-19 pandemic, many of the communities in which we manufacture, market and sell our products experienced and may in the future experience “stay at home” orders, travel or movement restrictions and other government actions to address the pandemic. While the impact of COVID-19 on our business has largely abated at this time, uncertainties continue, particularly in China where we have substantial manufacturing facilities and business, and in the travel retail channel, where we have experienced and may continue to experience disruptions particularly in our Filorga business. We have also experienced certain disruptions to our global supply chain due to COVID-19, which have impacted and may continue to impact sales of and consumer access to our products. In addition, we have witnessed changes in the purchasing patterns of our customers, including a shift in many markets to purchasing our products online. COVID-19 may continue to impact consumers’ behavior, shopping patterns and consumption preferences.</w:t>
      </w:r>
    </w:p>
    <w:p>
      <w:pPr>
        <w:spacing w:after="0" w:line="169"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While we currently expect to be able to continue operating our business as described above, uncertainty resulting from COVID-19 could result in unforeseen additional disruptions to our business, including our global supply chain and retailer network, and/or require us to incur additional operational costs.</w:t>
      </w:r>
    </w:p>
    <w:p>
      <w:pPr>
        <w:spacing w:after="0" w:line="145"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COVID-19’s impact on our business, see Part I, Item 1A “Risk Factors” and Part II, Item 7 “Management’s Discussion and Analysis of Financial Condition and Results of Operations – Executive Overview.”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202"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As a global company, we are subject to extensive governmental regulations, including environmental rules and regulations, in the U.S. and abroad. The most significant government regulations that impact our business are discussed below. It is our policy and practice to comply with all government regulations applicable to our business. In 2022, compliance with these regulations did not have, and we do not expect such compliance in the future to have, a material adverse effect on our capital expenditures, earnings or competitive position. For further discussion of how global legal and regulatory requirements may impact our business, see Part I, Item 1A, “Risk Factors.”</w:t>
      </w:r>
    </w:p>
    <w:p>
      <w:pPr>
        <w:spacing w:after="0" w:line="160"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Product Development</w:t>
      </w:r>
      <w:r>
        <w:rPr>
          <w:rFonts w:ascii="Times New Roman" w:cs="Times New Roman" w:eastAsia="Times New Roman" w:hAnsi="Times New Roman"/>
          <w:sz w:val="14"/>
          <w:szCs w:val="14"/>
          <w:color w:val="auto"/>
        </w:rPr>
        <w:t>: Legal and regulatory requirements apply to most aspects of our products, including their development, ingredients, formulation, manufacture, packaging content, labeling,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storage, transportation, distribution, export, import, advertising, sale and environmental impact. U.S. federal authorities, including the U.S. Food and Drug Administration, the Federal Trade Commission, the Consumer Product Safety Commission, the Occupational, Health and Safety Administration and the Environmental Protection Agency, regulate different aspects of our business, along with parallel authorities at the state and local levels and comparable authorities overseas.</w:t>
      </w:r>
    </w:p>
    <w:p>
      <w:pPr>
        <w:spacing w:after="0" w:line="350" w:lineRule="exact"/>
        <w:rPr>
          <w:sz w:val="20"/>
          <w:szCs w:val="20"/>
          <w:color w:val="auto"/>
        </w:rPr>
      </w:pPr>
    </w:p>
    <w:p>
      <w:pPr>
        <w:ind w:right="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Anti-Corruption, Anti-Bribery, Commercial Bribery and Competition</w:t>
      </w:r>
      <w:r>
        <w:rPr>
          <w:rFonts w:ascii="Times New Roman" w:cs="Times New Roman" w:eastAsia="Times New Roman" w:hAnsi="Times New Roman"/>
          <w:sz w:val="14"/>
          <w:szCs w:val="14"/>
          <w:color w:val="auto"/>
        </w:rPr>
        <w:t>: We are subject to anti-corruption laws and regulations, including the U.S. Foreign Corrupt Practices Act and other laws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generally prohibit the making or offering of improper payments to foreign government officials and political figures for the purpose of obtaining or retaining business or to gain an unfair business advantage, and laws that prohibit commercial bribery. In addition, our selling practices are regulated by competition law authorities in the U.S. and abroad.</w:t>
      </w:r>
    </w:p>
    <w:p>
      <w:pPr>
        <w:spacing w:after="0" w:line="155" w:lineRule="exact"/>
        <w:rPr>
          <w:sz w:val="20"/>
          <w:szCs w:val="20"/>
          <w:color w:val="auto"/>
        </w:rPr>
      </w:pPr>
    </w:p>
    <w:p>
      <w:pPr>
        <w:ind w:right="3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Privacy and Data Protection</w:t>
      </w:r>
      <w:r>
        <w:rPr>
          <w:rFonts w:ascii="Times New Roman" w:cs="Times New Roman" w:eastAsia="Times New Roman" w:hAnsi="Times New Roman"/>
          <w:sz w:val="14"/>
          <w:szCs w:val="14"/>
          <w:color w:val="auto"/>
        </w:rPr>
        <w:t>: Our collection, storage, transfer and/or processing of customer, consumer, employee, vendor and other stakeholder information and personal data is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important data protection laws and regulations in the U.S. and abroad, including the General Data Protection Regulation.</w:t>
      </w:r>
    </w:p>
    <w:p>
      <w:pPr>
        <w:spacing w:after="0" w:line="13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Trade Compliance</w:t>
      </w:r>
      <w:r>
        <w:rPr>
          <w:rFonts w:ascii="Times New Roman" w:cs="Times New Roman" w:eastAsia="Times New Roman" w:hAnsi="Times New Roman"/>
          <w:sz w:val="14"/>
          <w:szCs w:val="14"/>
          <w:color w:val="auto"/>
        </w:rPr>
        <w:t>: We are subject to laws and sanctions imposed by the U.S., including, without limitation, those imposed by the U.S. Treasury Department’s Office of Foreign Asset Control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(“OFAC”), and/or by other jurisdictions that may prohibit us or certain of our affiliates from doing business in certain countries or restrict the kind of business that may be conducted. For information regarding the impact of the war in Ukraine, refer to Part II, Item 7 “Management’s Discussions and Analysis of Financial Condition and Results of Operations - Executive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191" w:lineRule="exact"/>
        <w:rPr>
          <w:sz w:val="20"/>
          <w:szCs w:val="20"/>
          <w:color w:val="auto"/>
        </w:rPr>
      </w:pPr>
    </w:p>
    <w:p>
      <w:pPr>
        <w:ind w:right="180" w:firstLine="255"/>
        <w:spacing w:after="0" w:line="245" w:lineRule="auto"/>
        <w:rPr>
          <w:sz w:val="20"/>
          <w:szCs w:val="20"/>
          <w:color w:val="auto"/>
        </w:rPr>
      </w:pPr>
      <w:r>
        <w:rPr>
          <w:rFonts w:ascii="Times New Roman" w:cs="Times New Roman" w:eastAsia="Times New Roman" w:hAnsi="Times New Roman"/>
          <w:sz w:val="14"/>
          <w:szCs w:val="14"/>
          <w:color w:val="auto"/>
        </w:rPr>
        <w:t>Human capital matters at Colgate are managed by our Global Human Resources function, led by our Chief Human Resources Officer, with oversight from the Personnel and Organization Committee of our Board of Directors (the “Board”). As of December 31, 2022, we had approximately 33,800 employees based in over 100 countries. Approximately two-thirds of our revenues are generated from markets outside the U.S. and 86% of our employees are located outside the U.S. Approximately 36% of our employees are based in Asia Pacific, 30% are based in Latin America, 15% are based in Europe, 14% are based in North America and 5% are based in Africa/Eurasia. Our global workforce covers a broad range of functions, from manufacturing employees to management personnel and certain of our employees are represented by unions or works councils.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Colgate’s Culture and Core Values</w:t>
      </w:r>
    </w:p>
    <w:p>
      <w:pPr>
        <w:spacing w:after="0" w:line="20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As we work to achieve Colgate’s purpose to reimagine a healthier future for all people, their pets and our planet, Colgate people, working around the world, share a commitment to our three core corporate values: Caring, Global Teamwork and Continuous Improvement. These values are reflected not only in the quality of our products and reputation, but also in our dedication to serving the communities where we live and work, as reflected in our sustainability and social impact and DE&amp;I strategies. With these values, we work to maintain a strong culture based on integrity, ethical behavior and a commitment to doing the right thing. Underlying these values and our strong culture is the commitment of all Colgate people to maintain the highest ethical standards and demonstrate ethical leadership, including compliance with Colgate policies and our Code of Ethics.</w:t>
      </w:r>
    </w:p>
    <w:p>
      <w:pPr>
        <w:spacing w:after="0" w:line="154" w:lineRule="exact"/>
        <w:rPr>
          <w:sz w:val="20"/>
          <w:szCs w:val="20"/>
          <w:color w:val="auto"/>
        </w:rPr>
      </w:pPr>
    </w:p>
    <w:p>
      <w:pPr>
        <w:ind w:right="280" w:firstLine="255"/>
        <w:spacing w:after="0" w:line="271" w:lineRule="auto"/>
        <w:rPr>
          <w:sz w:val="20"/>
          <w:szCs w:val="20"/>
          <w:color w:val="auto"/>
        </w:rPr>
      </w:pPr>
      <w:r>
        <w:rPr>
          <w:rFonts w:ascii="Times New Roman" w:cs="Times New Roman" w:eastAsia="Times New Roman" w:hAnsi="Times New Roman"/>
          <w:sz w:val="14"/>
          <w:szCs w:val="14"/>
          <w:color w:val="auto"/>
        </w:rPr>
        <w:t>CARING: We care about people - Colgate people, consumers, customers, stockholders, business partners and people in the communities where we live and work. We are committed to acting with compassion, integrity, honesty and high ethics in all situations and to providing our employees with an innovative and inclusive work environment.</w:t>
      </w:r>
    </w:p>
    <w:p>
      <w:pPr>
        <w:spacing w:after="0" w:line="146"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GLOBAL TEAMWORK: All Colgate people are part of a global team, committed to working and collaborating together across functions and countries. Only by sharing ideas, technologies and talents can we achieve and sustain profitable growth.</w:t>
      </w:r>
    </w:p>
    <w:p>
      <w:pPr>
        <w:spacing w:after="0" w:line="145"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4"/>
          <w:szCs w:val="14"/>
          <w:color w:val="auto"/>
        </w:rPr>
        <w:t>CONTINUOUS IMPROVEMENT: We are committed to getting better every day in all that we do, as individuals and as teams. We continue to drive a learning culture and transform our learning strategy to better meet our evolving business needs. We provide our employees with learning experiences focused on building leadership skills and offer training programs that are closely aligned with our business strategy. Specifically, we continue to embed new ways of working and leadership principles to, among other things, instill a growth mindset to drive innovation with focus, empowerment, experimentation and digitalization. Colgate people are embracing data and analytics as part of their jobs, and we are scaling new capabilities worldwide. In 2022, approximately 14,000 Colgate people completed a new Data Literacy &amp; Analytics Academy course we created with training experts. We are also committed to listening to our employees and seeing how the company is evolving and growing through regular employee engagement surveys.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Diversity, Equity &amp; Inclusion</w:t>
      </w:r>
    </w:p>
    <w:p>
      <w:pPr>
        <w:spacing w:after="0" w:line="202"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4"/>
          <w:szCs w:val="14"/>
          <w:color w:val="auto"/>
        </w:rPr>
        <w:t>We believe our people are crucial to our ongoing business success and aim to recruit, develop and retain strong and diverse talent. We celebrate differences, promote an equitable and inclusive environment and value the contributions of all Colgate people. At Colgate, we are proud of our collaborative spirit – what we call The Power of WE. As a truly global company, we are working to ensure that our workforce reflects the diversity of the communities in which we live and work. As of December 31, 2022, our global workforce was approximately 59% male and 41% female. Women represented approximately 54% of our salaried and clerical employees, 44% of our people managers, 42% of Colgate’s executives and 36% of senior leadership. Measuring the race/ethnicity of our workforce is challenging to do on a global basis. In the U.S., on an employee self-reported basis, the racial/ethnic composition of our workforce was approximately 68% White, 12% Hispanic, 9% Asian, 9% Black, and 2% Other. The racial/ethnic composition of our people managers was approximately 61% White, 16% Hispanic, 14% Asian and 9% Black; the composition of our executives was approximately 58% White, 19% Hispanic, 15% Asian, 7% Black, and 1% Other; and the composition of senior leadership was approximately 61% White, 15% Hispanic, 12% Asian and 12% Black. “Other” refers to American Indian/Alaska Native, two or more races or Native Hawaiian/other Pacific Islander. In this section, “people managers” refers to employees with roles that have at least one direct report, “executives” refers to those employees who are eligible to participate in Colgate’s equity incentive compensation plans and “senior leadership” refers to employees who are Vice Presidents and above.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 w:name="page7"/>
    <w:bookmarkEnd w:id="6"/>
    <w:p>
      <w:pPr>
        <w:ind w:firstLine="255"/>
        <w:spacing w:after="0" w:line="261" w:lineRule="auto"/>
        <w:rPr>
          <w:sz w:val="20"/>
          <w:szCs w:val="20"/>
          <w:color w:val="auto"/>
        </w:rPr>
      </w:pPr>
      <w:r>
        <w:rPr>
          <w:rFonts w:ascii="Times New Roman" w:cs="Times New Roman" w:eastAsia="Times New Roman" w:hAnsi="Times New Roman"/>
          <w:sz w:val="14"/>
          <w:szCs w:val="14"/>
          <w:color w:val="auto"/>
        </w:rPr>
        <w:t>We are committed to providing all of our employees with an equitable and inclusive work environment, learning opportunities and promotion and growth opportunities. A vital piece of our DE&amp;I strategy has been ensuring that our succession planning process incorporates the advancement of women and people of all cultures, including underrepresented communities. To help further foster inclusiveness, we support employee resource groups for team members of many different identities, interests and backgrounds, including underrepresented communities. Each of these resource groups contributes to our inclusive work environment by developing and implementing programs to promote business and community involvement as well as cultural awareness. We also partner with external organizations to develop an inclusive and supportive work environment.</w:t>
      </w:r>
    </w:p>
    <w:p>
      <w:pPr>
        <w:spacing w:after="0" w:line="164"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Our global DE&amp;I strategy aims to further advance our commitment to become an even more diverse, equitable and inclusive organization. The four pillars of our strategy are People, Community, Supplier Diversity and Communication. Consistent with this strategy, we are working to implement policies, learning experiences and processes that promote awareness, empathy, advocacy and opportunity; become an ally for positive change for the underserved in communities in which we live and work; support minority and women-owned suppliers to enable success of diversity-owned businesses; and promote dialogue around DE&amp;I to increase awareness and advance the culture change to achieve our vision. In addition, we continued mandatory allyship and unconscious bias training for all salaried and clerical employees at Colgate that was first introduced in 2021 to help our employees better understand DE&amp;I concepts and embed allyship as a daily practice. Our Board, through its Nominating, Governance and Corporate Responsibility Committee and Personnel and Organization Committee, receives regular updates from management on our DE&amp;I efforts.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Succession Planning</w:t>
      </w:r>
    </w:p>
    <w:p>
      <w:pPr>
        <w:spacing w:after="0" w:line="202" w:lineRule="exact"/>
        <w:rPr>
          <w:sz w:val="20"/>
          <w:szCs w:val="20"/>
          <w:color w:val="auto"/>
        </w:rPr>
      </w:pPr>
    </w:p>
    <w:p>
      <w:pPr>
        <w:jc w:val="both"/>
        <w:ind w:right="360" w:firstLine="255"/>
        <w:spacing w:after="0" w:line="270" w:lineRule="auto"/>
        <w:rPr>
          <w:sz w:val="20"/>
          <w:szCs w:val="20"/>
          <w:color w:val="auto"/>
        </w:rPr>
      </w:pPr>
      <w:r>
        <w:rPr>
          <w:rFonts w:ascii="Times New Roman" w:cs="Times New Roman" w:eastAsia="Times New Roman" w:hAnsi="Times New Roman"/>
          <w:sz w:val="14"/>
          <w:szCs w:val="14"/>
          <w:color w:val="auto"/>
        </w:rPr>
        <w:t>We have a rigorous succession planning process, led by our Global Human Resources function. Our Board is also extensively involved in succession planning and people development with special focus on CEO succession. As part of the succession planning process, we review and discuss potential successors to key positions and examine backgrounds, capabilities and appropriate developmental assignments.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Philosophy</w:t>
      </w:r>
    </w:p>
    <w:p>
      <w:pPr>
        <w:spacing w:after="0" w:line="202"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Given the importance of Colgate people to our business success, motivating and retaining critical talent is a key focus. We view compensation as an important tool to motivate leaders at all levels of the organization. For information regarding our compensation philosophy and executive compensation programs, please see our Proxy Statement to be filed with the United States Securities and Exchange Commission (the “SEC”) in connection with the 2023 Annual Meeting of Stockholders.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Sustainability</w:t>
      </w:r>
    </w:p>
    <w:p>
      <w:pPr>
        <w:spacing w:after="0" w:line="202"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We view sustainability as being critically important to our overall business and growth strategy. Our 2025 Sustainability &amp; Social Impact Strategy, which we announced in November 2020, is focused on three key ambitions - preserving our environment by accelerating action on climate change and reducing our environmental footprint; helping millions of homes by empowering people to develop healthier habits; and driving social impact with a commitment to helping to ensure the well-being of all people and their pets. These ambitions are supported by actionable targets consistent with our continued commitment to building environmental and social consciousness into our decision-making.</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2022, we made progress on the targets set forth in our 2025 Sustainability &amp; Social Impact Strategy.</w:t>
      </w:r>
    </w:p>
    <w:p>
      <w:pPr>
        <w:spacing w:after="0" w:line="198" w:lineRule="exact"/>
        <w:rPr>
          <w:sz w:val="20"/>
          <w:szCs w:val="20"/>
          <w:color w:val="auto"/>
        </w:rPr>
      </w:pPr>
    </w:p>
    <w:p>
      <w:pPr>
        <w:ind w:right="10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Reduce Plastic Waste: </w:t>
      </w:r>
      <w:r>
        <w:rPr>
          <w:rFonts w:ascii="Times New Roman" w:cs="Times New Roman" w:eastAsia="Times New Roman" w:hAnsi="Times New Roman"/>
          <w:sz w:val="14"/>
          <w:szCs w:val="14"/>
          <w:color w:val="auto"/>
        </w:rPr>
        <w:t>As a positive step toward achieving our targets to reduce the use of new plastic by a third and make our packaging 100% recyclable, reusable or compostable by 2025,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implementing our first-of-its-kind recyclable toothpaste tube across our toothpaste portfolio. Since introducing our first-of-its-kind recyclable toothpaste tube in 2019, as of December 31, 2022, we have transitioned over 70% of our toothpaste SKUs in North America to recyclable tubes. We continue to share the tube technology and, as of December 31, 2022, we have shared it with third parties by holding approximately 70 sessions to encourage recyclability of all tubes in practice and at scale. We are committed to the success of Colgate Keep, our first-of-its-kind manual toothbrush with a replaceable head and a reusable aluminum handle for 80% less plastic waste compared to similarly sized Colgate toothbrushes.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7" w:name="page8"/>
    <w:bookmarkEnd w:id="7"/>
    <w:p>
      <w:pPr>
        <w:ind w:right="8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Accelerate Action on Climate Change: </w:t>
      </w:r>
      <w:r>
        <w:rPr>
          <w:rFonts w:ascii="Times New Roman" w:cs="Times New Roman" w:eastAsia="Times New Roman" w:hAnsi="Times New Roman"/>
          <w:sz w:val="14"/>
          <w:szCs w:val="14"/>
          <w:color w:val="auto"/>
        </w:rPr>
        <w:t>Colgate is taking steps to accelerate action on climate change through science-based near-term, long-term and Net Zero 2040 emissions targets across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and supply chain, which have been approved by The Science Based Targets initiative. To support our goal to become Net Zero carbon in our operations by 2040, we have built a global renewable energy master plan which includes roadmaps by division to cover our manufacturing facilities and owned warehouses, global technology centers and offices and have engaged our priority Tier 1 Suppliers in support of our goal to reduce their greenhouse gas emissions by 20% by 2025 (versus a 2020 baseline).</w:t>
      </w:r>
    </w:p>
    <w:p>
      <w:pPr>
        <w:spacing w:after="0" w:line="159"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Lead with Zero Waste Facilities: </w:t>
      </w:r>
      <w:r>
        <w:rPr>
          <w:rFonts w:ascii="Times New Roman" w:cs="Times New Roman" w:eastAsia="Times New Roman" w:hAnsi="Times New Roman"/>
          <w:sz w:val="14"/>
          <w:szCs w:val="14"/>
          <w:color w:val="auto"/>
        </w:rPr>
        <w:t>It is our goal to achieve TRUE Zero Waste certifications at 100% of our operations, which we define as our manufacturing facilities, owned and operated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warehouses, global technology centers and strategic offices, by 2025. In 2022, six more of our sites achieved TRUE certification. That brings the total number of TRUE certified sites, as of December 31, 2022, to 32 across five continents in 19 countries.</w:t>
      </w:r>
    </w:p>
    <w:p>
      <w:pPr>
        <w:spacing w:after="0" w:line="155" w:lineRule="exact"/>
        <w:rPr>
          <w:sz w:val="20"/>
          <w:szCs w:val="20"/>
          <w:color w:val="auto"/>
        </w:rPr>
      </w:pPr>
    </w:p>
    <w:p>
      <w:pPr>
        <w:ind w:right="2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Ingredient Transparency: </w:t>
      </w:r>
      <w:r>
        <w:rPr>
          <w:rFonts w:ascii="Times New Roman" w:cs="Times New Roman" w:eastAsia="Times New Roman" w:hAnsi="Times New Roman"/>
          <w:sz w:val="14"/>
          <w:szCs w:val="14"/>
          <w:color w:val="auto"/>
        </w:rPr>
        <w:t>We continue to promote ingredient transparency and seek to follow the highest safety and efficacy standards as we formulate our products. We have rolled out a new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“Fragrance &amp; Flavors Share for Good” ingredient transparency program, which provides additional ingredient information.</w:t>
      </w:r>
    </w:p>
    <w:p>
      <w:pPr>
        <w:spacing w:after="0" w:line="141" w:lineRule="exact"/>
        <w:rPr>
          <w:sz w:val="20"/>
          <w:szCs w:val="20"/>
          <w:color w:val="auto"/>
        </w:rPr>
      </w:pPr>
    </w:p>
    <w:p>
      <w:pPr>
        <w:ind w:right="12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Social Impact: </w:t>
      </w:r>
      <w:r>
        <w:rPr>
          <w:rFonts w:ascii="Times New Roman" w:cs="Times New Roman" w:eastAsia="Times New Roman" w:hAnsi="Times New Roman"/>
          <w:sz w:val="14"/>
          <w:szCs w:val="14"/>
          <w:color w:val="auto"/>
        </w:rPr>
        <w:t>Colgate Bright Smiles, Bright Futures is our flagship oral health education and well-being initiative. Since the program was established in 1991, we have reached over 1.6 billion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children and their families in more than 80 countries. Through our Hill's Food, Shelter &amp; Love program, we have helped over 13 million shelter pets find forever homes since 2002.</w:t>
      </w:r>
    </w:p>
    <w:p>
      <w:pPr>
        <w:spacing w:after="0" w:line="143" w:lineRule="exact"/>
        <w:rPr>
          <w:sz w:val="20"/>
          <w:szCs w:val="20"/>
          <w:color w:val="auto"/>
        </w:rPr>
      </w:pPr>
    </w:p>
    <w:p>
      <w:pPr>
        <w:ind w:right="260" w:firstLine="255"/>
        <w:spacing w:after="0" w:line="253" w:lineRule="auto"/>
        <w:rPr>
          <w:sz w:val="20"/>
          <w:szCs w:val="20"/>
          <w:color w:val="auto"/>
        </w:rPr>
      </w:pPr>
      <w:r>
        <w:rPr>
          <w:rFonts w:ascii="Times New Roman" w:cs="Times New Roman" w:eastAsia="Times New Roman" w:hAnsi="Times New Roman"/>
          <w:sz w:val="14"/>
          <w:szCs w:val="14"/>
          <w:color w:val="auto"/>
        </w:rPr>
        <w:t>Additional information about our sustainability targets and efforts, including our 2021 Sustainability and Social Impact Report, our 2022 Climate Transition &amp; Net Zero Action Plan and our reports aligned with the Task Force on Climate-related Financial Disclosures (TCFD) recommendations and Sustainability Accounting Standards Board (SASB) can be found in the Sustainability section of our website at https://www.colgatepalmolive.com/sustainability. References to these reports and our website are for informational purposes only and neither the reports nor the other information on our website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list of our executive officers as of February 16,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4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3"/>
                <w:szCs w:val="13"/>
                <w:color w:val="auto"/>
              </w:rPr>
              <w:t>Name</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Age</w:t>
            </w:r>
          </w:p>
        </w:tc>
        <w:tc>
          <w:tcPr>
            <w:tcW w:w="8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 First Elected Officer</w:t>
            </w:r>
          </w:p>
        </w:tc>
        <w:tc>
          <w:tcPr>
            <w:tcW w:w="100" w:type="dxa"/>
            <w:vAlign w:val="bottom"/>
            <w:tcBorders>
              <w:bottom w:val="single" w:sz="8" w:color="CCEEFF"/>
            </w:tcBorders>
          </w:tcPr>
          <w:p>
            <w:pPr>
              <w:spacing w:after="0"/>
              <w:rPr>
                <w:sz w:val="14"/>
                <w:szCs w:val="14"/>
                <w:color w:val="auto"/>
              </w:rPr>
            </w:pPr>
          </w:p>
        </w:tc>
        <w:tc>
          <w:tcPr>
            <w:tcW w:w="462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3"/>
                <w:szCs w:val="13"/>
                <w:color w:val="auto"/>
              </w:rPr>
              <w:t>Present Title</w:t>
            </w:r>
          </w:p>
        </w:tc>
        <w:tc>
          <w:tcPr>
            <w:tcW w:w="0" w:type="dxa"/>
            <w:vAlign w:val="bottom"/>
          </w:tcPr>
          <w:p>
            <w:pPr>
              <w:spacing w:after="0"/>
              <w:rPr>
                <w:sz w:val="1"/>
                <w:szCs w:val="1"/>
                <w:color w:val="auto"/>
              </w:rPr>
            </w:pPr>
          </w:p>
        </w:tc>
      </w:tr>
      <w:tr>
        <w:trPr>
          <w:trHeight w:val="120"/>
        </w:trPr>
        <w:tc>
          <w:tcPr>
            <w:tcW w:w="3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Noel R. Wallace</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0"/>
                <w:szCs w:val="10"/>
                <w:color w:val="auto"/>
              </w:rPr>
            </w:pPr>
          </w:p>
        </w:tc>
        <w:tc>
          <w:tcPr>
            <w:tcW w:w="2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2009</w:t>
            </w:r>
          </w:p>
        </w:tc>
        <w:tc>
          <w:tcPr>
            <w:tcW w:w="100" w:type="dxa"/>
            <w:vAlign w:val="bottom"/>
            <w:shd w:val="clear" w:color="auto" w:fill="CCEEFF"/>
          </w:tcPr>
          <w:p>
            <w:pPr>
              <w:spacing w:after="0"/>
              <w:rPr>
                <w:sz w:val="10"/>
                <w:szCs w:val="10"/>
                <w:color w:val="auto"/>
              </w:rPr>
            </w:pPr>
          </w:p>
        </w:tc>
        <w:tc>
          <w:tcPr>
            <w:tcW w:w="4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Chairman of the Board, President and</w:t>
            </w:r>
          </w:p>
        </w:tc>
        <w:tc>
          <w:tcPr>
            <w:tcW w:w="0" w:type="dxa"/>
            <w:vAlign w:val="bottom"/>
          </w:tcPr>
          <w:p>
            <w:pPr>
              <w:spacing w:after="0"/>
              <w:rPr>
                <w:sz w:val="1"/>
                <w:szCs w:val="1"/>
                <w:color w:val="auto"/>
              </w:rPr>
            </w:pPr>
          </w:p>
        </w:tc>
      </w:tr>
      <w:tr>
        <w:trPr>
          <w:trHeight w:val="170"/>
        </w:trPr>
        <w:tc>
          <w:tcPr>
            <w:tcW w:w="324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Chief Executive Officer</w:t>
            </w:r>
          </w:p>
        </w:tc>
        <w:tc>
          <w:tcPr>
            <w:tcW w:w="0" w:type="dxa"/>
            <w:vAlign w:val="bottom"/>
          </w:tcPr>
          <w:p>
            <w:pPr>
              <w:spacing w:after="0"/>
              <w:rPr>
                <w:sz w:val="1"/>
                <w:szCs w:val="1"/>
                <w:color w:val="auto"/>
              </w:rPr>
            </w:pPr>
          </w:p>
        </w:tc>
      </w:tr>
      <w:tr>
        <w:trPr>
          <w:trHeight w:val="16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Stanley J. Sutula III</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2020</w:t>
            </w:r>
          </w:p>
        </w:tc>
        <w:tc>
          <w:tcPr>
            <w:tcW w:w="10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c>
          <w:tcPr>
            <w:tcW w:w="0" w:type="dxa"/>
            <w:vAlign w:val="bottom"/>
          </w:tcPr>
          <w:p>
            <w:pPr>
              <w:spacing w:after="0"/>
              <w:rPr>
                <w:sz w:val="1"/>
                <w:szCs w:val="1"/>
                <w:color w:val="auto"/>
              </w:rPr>
            </w:pPr>
          </w:p>
        </w:tc>
      </w:tr>
      <w:tr>
        <w:trPr>
          <w:trHeight w:val="172"/>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Jennifer M. Daniels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2014</w:t>
            </w:r>
          </w:p>
        </w:tc>
        <w:tc>
          <w:tcPr>
            <w:tcW w:w="100" w:type="dxa"/>
            <w:vAlign w:val="bottom"/>
            <w:shd w:val="clear" w:color="auto" w:fill="CCEEFF"/>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Chief Legal Officer and Secretary</w:t>
            </w:r>
          </w:p>
        </w:tc>
        <w:tc>
          <w:tcPr>
            <w:tcW w:w="0" w:type="dxa"/>
            <w:vAlign w:val="bottom"/>
          </w:tcPr>
          <w:p>
            <w:pPr>
              <w:spacing w:after="0"/>
              <w:rPr>
                <w:sz w:val="1"/>
                <w:szCs w:val="1"/>
                <w:color w:val="auto"/>
              </w:rPr>
            </w:pPr>
          </w:p>
        </w:tc>
      </w:tr>
      <w:tr>
        <w:trPr>
          <w:trHeight w:val="16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John W. Kooyman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2019</w:t>
            </w:r>
          </w:p>
        </w:tc>
        <w:tc>
          <w:tcPr>
            <w:tcW w:w="10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Chief of Staff</w:t>
            </w:r>
          </w:p>
        </w:tc>
        <w:tc>
          <w:tcPr>
            <w:tcW w:w="0" w:type="dxa"/>
            <w:vAlign w:val="bottom"/>
          </w:tcPr>
          <w:p>
            <w:pPr>
              <w:spacing w:after="0"/>
              <w:rPr>
                <w:sz w:val="1"/>
                <w:szCs w:val="1"/>
                <w:color w:val="auto"/>
              </w:rPr>
            </w:pPr>
          </w:p>
        </w:tc>
      </w:tr>
      <w:tr>
        <w:trPr>
          <w:trHeight w:val="172"/>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Prabha Parameswaran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2019</w:t>
            </w:r>
          </w:p>
        </w:tc>
        <w:tc>
          <w:tcPr>
            <w:tcW w:w="100" w:type="dxa"/>
            <w:vAlign w:val="bottom"/>
            <w:shd w:val="clear" w:color="auto" w:fill="CCEEFF"/>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Group President, Growth and Strategy</w:t>
            </w:r>
          </w:p>
        </w:tc>
        <w:tc>
          <w:tcPr>
            <w:tcW w:w="0" w:type="dxa"/>
            <w:vAlign w:val="bottom"/>
          </w:tcPr>
          <w:p>
            <w:pPr>
              <w:spacing w:after="0"/>
              <w:rPr>
                <w:sz w:val="1"/>
                <w:szCs w:val="1"/>
                <w:color w:val="auto"/>
              </w:rPr>
            </w:pPr>
          </w:p>
        </w:tc>
      </w:tr>
      <w:tr>
        <w:trPr>
          <w:trHeight w:val="16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Panagiotis Tsourapas</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2019</w:t>
            </w:r>
          </w:p>
        </w:tc>
        <w:tc>
          <w:tcPr>
            <w:tcW w:w="10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Group President, Europe and Developing Markets</w:t>
            </w:r>
          </w:p>
        </w:tc>
        <w:tc>
          <w:tcPr>
            <w:tcW w:w="0" w:type="dxa"/>
            <w:vAlign w:val="bottom"/>
          </w:tcPr>
          <w:p>
            <w:pPr>
              <w:spacing w:after="0"/>
              <w:rPr>
                <w:sz w:val="1"/>
                <w:szCs w:val="1"/>
                <w:color w:val="auto"/>
              </w:rPr>
            </w:pPr>
          </w:p>
        </w:tc>
      </w:tr>
      <w:tr>
        <w:trPr>
          <w:trHeight w:val="172"/>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Sally Massey</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2020</w:t>
            </w:r>
          </w:p>
        </w:tc>
        <w:tc>
          <w:tcPr>
            <w:tcW w:w="100" w:type="dxa"/>
            <w:vAlign w:val="bottom"/>
            <w:shd w:val="clear" w:color="auto" w:fill="CCEEFF"/>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Chief Human Resources Officer</w:t>
            </w:r>
          </w:p>
        </w:tc>
        <w:tc>
          <w:tcPr>
            <w:tcW w:w="0" w:type="dxa"/>
            <w:vAlign w:val="bottom"/>
          </w:tcPr>
          <w:p>
            <w:pPr>
              <w:spacing w:after="0"/>
              <w:rPr>
                <w:sz w:val="1"/>
                <w:szCs w:val="1"/>
                <w:color w:val="auto"/>
              </w:rPr>
            </w:pPr>
          </w:p>
        </w:tc>
      </w:tr>
      <w:tr>
        <w:trPr>
          <w:trHeight w:val="16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Gregory O. Malcolm</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0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Vice President and Controller</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40" w:firstLine="255"/>
        <w:spacing w:after="0" w:line="271" w:lineRule="auto"/>
        <w:rPr>
          <w:sz w:val="20"/>
          <w:szCs w:val="20"/>
          <w:color w:val="auto"/>
        </w:rPr>
      </w:pPr>
      <w:r>
        <w:rPr>
          <w:rFonts w:ascii="Times New Roman" w:cs="Times New Roman" w:eastAsia="Times New Roman" w:hAnsi="Times New Roman"/>
          <w:sz w:val="14"/>
          <w:szCs w:val="14"/>
          <w:color w:val="auto"/>
        </w:rPr>
        <w:t>Each of our executive officers listed above has served the Company or our subsidiaries in various executive capacities for the past five years with the exception of Stanley J. Sutula III, Chief Financial Officer. Prior to joining the company, Mr. Sutula was Executive Vice President and Chief Financial Officer of Pitney Bowes Inc., which he joined in 2017.</w:t>
      </w:r>
    </w:p>
    <w:p>
      <w:pPr>
        <w:spacing w:after="0" w:line="146"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Under our By-Laws, our officers hold office until their respective successors are chosen and qualified or until they have resigned, retired or been removed by the affirmative vote of a majority of our Board. There are no family relationships between any of our executive officers, and there is no arrangement or understanding between any executive officer and any other person pursuant to which the executive officer was elected.</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 Available Information</w:t>
      </w:r>
    </w:p>
    <w:p>
      <w:pPr>
        <w:spacing w:after="0" w:line="200"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Our website address is www.colgatepalmolive.com. The information contained on our website is not included as a part of, or incorporated by reference into, this Annual Report on Form 10-K. We make available, free of charge, on our website our Annual Reports on Form 10-K, Quarterly Reports on Form 10-Q, interactive data files posted pursuant to Rule 405 of Regulation S-T, Current Reports on Form 8-K and amendments to such reports filed or furnished pursuant to Section 13(a) or 15(d) of the Securities Exchange Act of 1934 (the “Exchange Act”) as soon as reasonably practicable after we electronically file such material with, or furnish it to, the SEC. Also available on our website are the Company’s Code of Conduct and Board Guidelines on Significant Corporate Governance Issues, the charters of the Committees of the Board, Specialized Disclosure Reports on Form SD, reports under Section 16 of the Exchange Act of transactions in Company stock by directors and executive officers and our Proxy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9" w:name="page10"/>
    <w:bookmarkEnd w:id="9"/>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202"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In addition to the risks described elsewhere in this report, set forth below is a summary of the material risks to an investment in our securities. These risks, some of which have occurred and/or are occurring and any of which could occur in the future, are not the only ones we face. Additional risks not presently known to us or that we currently deem immaterial may also have an adverse effect on us. If any of these risks actually occur, our business, results of operations, cash flows and financial condition could be materially and adversely impacted, which might cause the value of our securities to decline.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and Industry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face risks associated with significant international operations, including exposure to foreign currency fluctuations.</w:t>
      </w:r>
    </w:p>
    <w:p>
      <w:pPr>
        <w:spacing w:after="0" w:line="202"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We operate on a global basis serving consumers in more than 200 countries and territories with approximately two-thirds of our Net sales originating in markets outside the U.S. While geographic diversity helps to reduce our exposure to risks in any one country or part of the world, it also means that we face risks associated with significant international operations, including, but not limited to:</w:t>
      </w:r>
    </w:p>
    <w:p>
      <w:pPr>
        <w:spacing w:after="0" w:line="157" w:lineRule="exact"/>
        <w:rPr>
          <w:sz w:val="20"/>
          <w:szCs w:val="20"/>
          <w:color w:val="auto"/>
        </w:rPr>
      </w:pPr>
    </w:p>
    <w:p>
      <w:pPr>
        <w:ind w:left="520" w:right="2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macroeconomic conditions in our markets, including as a result of inflation, the war in Ukraine, volatile commodity prices and increases in the cost of raw and packaging materials, labor, energy and logistics;</w:t>
      </w:r>
    </w:p>
    <w:p>
      <w:pPr>
        <w:spacing w:after="0" w:line="145"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or economic instability, geopolitical events, wars and military conflicts, such as the war in Ukraine, environmental events, widespread health emergencies, such as COVID-19 or other pandemics or epidemics, natural disasters or social or labor unrest;</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exchange rates for foreign currencies, which may reduce the U.S. dollar value of revenues, profits and cash flows from non-U.S. markets or increase our supply costs, as measured in U.S. dollars, in those markets;</w:t>
      </w:r>
    </w:p>
    <w:p>
      <w:pPr>
        <w:spacing w:after="0" w:line="145"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controls and other limits on our ability to import or export raw materials or finished product, including as a result of COVID-19, and the war in Ukraine, or to repatriate earnings from overseas;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well-established, reliable and/or impartial legal systems in certain countries where we operate and difficulties in enforcing contractual, intellectual property or other legal rights;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ownership and investment restrictions and the potential for nationalization or expropriation of property or other resources; and</w:t>
      </w:r>
    </w:p>
    <w:p>
      <w:pPr>
        <w:spacing w:after="0" w:line="199" w:lineRule="exact"/>
        <w:rPr>
          <w:rFonts w:ascii="Times New Roman" w:cs="Times New Roman" w:eastAsia="Times New Roman" w:hAnsi="Times New Roman"/>
          <w:sz w:val="14"/>
          <w:szCs w:val="14"/>
          <w:color w:val="auto"/>
        </w:rPr>
      </w:pPr>
    </w:p>
    <w:p>
      <w:pPr>
        <w:ind w:left="520" w:right="40" w:hanging="260"/>
        <w:spacing w:after="0" w:line="270"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trade policies and agreements and other foreign or domestic legal and regulatory requirements, including those resulting in potentially adverse tax consequences or the imposition of and/or the increase in trade restrictions and/or tariffs, sanctions, price controls, labor laws, travel or immigration restrictions (including as a result of pandemics, epidemics or other widespread health emergencies, such as the COVID-19 pandemic), profit controls or other government controls, including as a result of the war in Ukraine.</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Any or all of the foregoing risks could have a significant impact on our ability to sell our products on a competitive basis in international markets and may adversely affect our business, results of operations, cash flows and financial condition. In addition, a number of these risks may adversely impact consumer confidence and consumption, which could reduce sales volumes of our products or result in a shift in our product mix from higher margin to lower margin product offerings.</w:t>
      </w:r>
    </w:p>
    <w:p>
      <w:pPr>
        <w:spacing w:after="0" w:line="157"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4"/>
          <w:szCs w:val="14"/>
          <w:color w:val="auto"/>
        </w:rPr>
        <w:t>We face risks resulting from political and macroeconomic instability and geopolitical events, such as the ongoing war in Ukraine and the related geopolitical tensions. We suspended the importation and sales of all products in Russia other than essential health and hygiene products for everyday use and ceased all capital investments and media activities in Russia. While these actions have impacted our Eurasia business, they have not had a material impact on our business, results of operations, cash flow or financial condition. In 2022, our Eurasia business constituted approximately 2% of our consolidated net sales and approximately 3% of our consolidated operating profit (the majority of which was Russia). We,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10" w:name="page11"/>
    <w:bookmarkEnd w:id="10"/>
    <w:p>
      <w:pPr>
        <w:ind w:right="120"/>
        <w:spacing w:after="0" w:line="249" w:lineRule="auto"/>
        <w:rPr>
          <w:sz w:val="20"/>
          <w:szCs w:val="20"/>
          <w:color w:val="auto"/>
        </w:rPr>
      </w:pPr>
      <w:r>
        <w:rPr>
          <w:rFonts w:ascii="Times New Roman" w:cs="Times New Roman" w:eastAsia="Times New Roman" w:hAnsi="Times New Roman"/>
          <w:sz w:val="14"/>
          <w:szCs w:val="14"/>
          <w:color w:val="auto"/>
        </w:rPr>
        <w:t>however, have experienced, and expect to continue to experience, risks related to the impact of the war in Ukraine, including increases in the cost and, in certain cases, limitations on the availability of raw and packaging materials and commodities (including oil and natural gas), supply chain and logistics challenges and foreign currency volatility. We also continue to monitor the impact of the sanctions and export controls imposed in the response to the war in Ukraine. The situation continues to evolve and significant uncertainties regarding the full impact of the war in Ukraine or the related impacts on the global economy and geopolitical relations, in general and on our business in particular, remain and may be impacted by any or all of the foregoing risks. The war in Ukraine may also heighten other risks disclosed in this Annual Report on Form 10-K, any of which could have an adverse impact on our business, results of operations, cash flows or financial condition.</w:t>
      </w:r>
    </w:p>
    <w:p>
      <w:pPr>
        <w:spacing w:after="0" w:line="173"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Furthermore, the imposition of tariffs and/or increase in tariffs on various products by the United States and other countries have introduced greater uncertainty with respect to trade policies and government regulations affecting trade between the United States and other countries and new and/or increased tariffs have subjected, and may continue in the future to subject, us to additional costs and expenditure of resources. Major developments in trade relations, including the imposition of new or increased tariffs by the United States and/or other countries, such as China, and any emerging nationalist trends in specific countries could alter the trade environment and consumer purchasing behavior which, in turn, could have a material effect on our business, results of operations, cash flows and financial condition.</w:t>
      </w:r>
    </w:p>
    <w:p>
      <w:pPr>
        <w:spacing w:after="0" w:line="164"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In an effort to minimize the impact on earnings of foreign currency rate movements, we engage in a combination of selling price increases, where permitted, sourcing strategies, cost-containment measures and selective hedging of foreign currency transactions. However, the impact of these measures have not and may not in the future fully offset any negative impact of foreign currency rate movements on our business, results of operations, cash flows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competition in our industry could adversely affect our business.</w:t>
      </w:r>
    </w:p>
    <w:p>
      <w:pPr>
        <w:spacing w:after="0" w:line="202"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We face vigorous competition worldwide, including from strong local competitors and from other large, multinational companies, some of which have greater resources than we do. In addition, the substantial growth in eCommerce has encouraged the entry of new competitors and business models.</w:t>
      </w:r>
    </w:p>
    <w:p>
      <w:pPr>
        <w:spacing w:after="0" w:line="145" w:lineRule="exact"/>
        <w:rPr>
          <w:sz w:val="20"/>
          <w:szCs w:val="20"/>
          <w:color w:val="auto"/>
        </w:rPr>
      </w:pPr>
    </w:p>
    <w:p>
      <w:pPr>
        <w:ind w:firstLine="255"/>
        <w:spacing w:after="0" w:line="247" w:lineRule="auto"/>
        <w:rPr>
          <w:sz w:val="20"/>
          <w:szCs w:val="20"/>
          <w:color w:val="auto"/>
        </w:rPr>
      </w:pPr>
      <w:r>
        <w:rPr>
          <w:rFonts w:ascii="Times New Roman" w:cs="Times New Roman" w:eastAsia="Times New Roman" w:hAnsi="Times New Roman"/>
          <w:sz w:val="14"/>
          <w:szCs w:val="14"/>
          <w:color w:val="auto"/>
        </w:rPr>
        <w:t>We face competition in several aspects of our business, including pricing, promotional activities, new product introductions and expansion into new geographies and channels. Some of our competitors may spend more aggressively on or have more effective advertising and promotional activities than we do, introduce competing products more quickly and/or respond more effectively to business and economic conditions and changing consumer preferences, including by launching innovative new products. Such competition also extends to administrative and legal challenges of product claims and advertising. Our success is increasingly dependent on our ability to effectively leverage digital technology and data analytics to gain new commercial insights and develop relevant marketing and advertising to reach customers and consumers. Our ability to compete also depends on the strength of our brands and on our ability to enforce and defend our intellectual property, including patent, trademark, copyright, trade secret and trade dress rights, against infringement and legal challenges by competitors.</w:t>
      </w:r>
    </w:p>
    <w:p>
      <w:pPr>
        <w:spacing w:after="0" w:line="173"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We may be unable to anticipate the timing and scale of such initiatives or challenges by competitors or to successfully respond to them, which could harm our business. In addition, the cost of responding to such initiatives and challenges, including management time, out-of-pocket expenses and price reductions, may affect our performance. A failure to compete effectively could adversely affect our business, results of operations, cash flows and financial condition.</w:t>
      </w:r>
    </w:p>
    <w:p>
      <w:pPr>
        <w:spacing w:after="0" w:line="15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color w:val="auto"/>
        </w:rPr>
        <w:t>Increasing dependence on key retailers in developed markets, changes in the policies of our retail trade customers, the emergence of alternative retail channels and the rapidly changing retail landscape and changing consumer preferences may adversely affect our business.</w:t>
      </w:r>
    </w:p>
    <w:p>
      <w:pPr>
        <w:spacing w:after="0" w:line="143" w:lineRule="exact"/>
        <w:rPr>
          <w:sz w:val="20"/>
          <w:szCs w:val="20"/>
          <w:color w:val="auto"/>
        </w:rPr>
      </w:pPr>
    </w:p>
    <w:p>
      <w:pPr>
        <w:ind w:right="20" w:firstLine="255"/>
        <w:spacing w:after="0" w:line="249" w:lineRule="auto"/>
        <w:rPr>
          <w:sz w:val="20"/>
          <w:szCs w:val="20"/>
          <w:color w:val="auto"/>
        </w:rPr>
      </w:pPr>
      <w:r>
        <w:rPr>
          <w:rFonts w:ascii="Times New Roman" w:cs="Times New Roman" w:eastAsia="Times New Roman" w:hAnsi="Times New Roman"/>
          <w:sz w:val="14"/>
          <w:szCs w:val="14"/>
          <w:color w:val="auto"/>
        </w:rPr>
        <w:t>Our products are sold in a highly competitive global marketplace which has experienced increased trade concentration and the growing presence of large-format retailers, discounters and eCommerce retailers. With the growing trend toward retail trade consolidation, the substantial growth of eCommerce and the integration of traditional and digital operations at key retailers, we are increasingly dependent on certain retailers, and some of these retailers have and may continue to have greater bargaining strength than we do. They have used and may continue to use this leverage to demand higher trade discounts, allowances, slotting fees or increased investment, including through display media, paid search, preparation fees and co-op programs, which have led to and could continue to lead to reduced sales or profitability in certain markets. The loss of a key customer or a significant reduction in sales to a key customer could adversely affect our business, results of</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11" w:name="page12"/>
    <w:bookmarkEnd w:id="11"/>
    <w:p>
      <w:pPr>
        <w:jc w:val="center"/>
        <w:ind w:right="240"/>
        <w:spacing w:after="0"/>
        <w:rPr>
          <w:sz w:val="20"/>
          <w:szCs w:val="20"/>
          <w:color w:val="auto"/>
        </w:rPr>
      </w:pPr>
      <w:r>
        <w:rPr>
          <w:rFonts w:ascii="Times New Roman" w:cs="Times New Roman" w:eastAsia="Times New Roman" w:hAnsi="Times New Roman"/>
          <w:sz w:val="14"/>
          <w:szCs w:val="14"/>
          <w:color w:val="auto"/>
        </w:rPr>
        <w:t>operations, cash flows and financial condition. For additional information regarding our customers, see “Distribution; Raw Materials; Competition; Trademarks and Patents” in Item 1 “Business.”</w:t>
      </w:r>
    </w:p>
    <w:p>
      <w:pPr>
        <w:spacing w:after="0" w:line="18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4"/>
          <w:szCs w:val="14"/>
          <w:color w:val="auto"/>
        </w:rPr>
        <w:t>We also have been and may continue to be negatively affected by changes in the policies or practices of our retail trade customers, such as inventory destocking, fulfillment requirements, limitations on access to shelf space, delisting of our products, or sustainability, supply chain or packaging standards or initiatives. For example, a determination by a key retailer that any of our ingredients should not be used in certain consumer products or that our packaging does not comply with certain requirements and standards could adversely impact our business, results of operations, cash flows and financial condition. In addition, “private label” products sold by our retail customers, which are typically sold at lower prices than branded products, are a source of competition for certain of our products.</w:t>
      </w:r>
    </w:p>
    <w:p>
      <w:pPr>
        <w:spacing w:after="0" w:line="159" w:lineRule="exact"/>
        <w:rPr>
          <w:sz w:val="20"/>
          <w:szCs w:val="20"/>
          <w:color w:val="auto"/>
        </w:rPr>
      </w:pPr>
    </w:p>
    <w:p>
      <w:pPr>
        <w:ind w:right="280" w:firstLine="255"/>
        <w:spacing w:after="0" w:line="253" w:lineRule="auto"/>
        <w:rPr>
          <w:sz w:val="20"/>
          <w:szCs w:val="20"/>
          <w:color w:val="auto"/>
        </w:rPr>
      </w:pPr>
      <w:r>
        <w:rPr>
          <w:rFonts w:ascii="Times New Roman" w:cs="Times New Roman" w:eastAsia="Times New Roman" w:hAnsi="Times New Roman"/>
          <w:sz w:val="14"/>
          <w:szCs w:val="14"/>
          <w:color w:val="auto"/>
        </w:rPr>
        <w:t>Further, the retail landscape in many of our markets continues to evolve as a result of the substantial growth of eCommerce, changing consumer behaviors and preferences (as consumers increasingly shop online and via mobile and social applications) and the increased presence of alternative retail channels, such as subscription services and direct-to-customer businesses. The substantial growth in eCommerce and the emergence of alternative retail channels have created and may continue to create pricing pressures and/or adversely affect our relationships with our key retailers.</w:t>
      </w:r>
    </w:p>
    <w:p>
      <w:pPr>
        <w:spacing w:after="0" w:line="159" w:lineRule="exact"/>
        <w:rPr>
          <w:sz w:val="20"/>
          <w:szCs w:val="20"/>
          <w:color w:val="auto"/>
        </w:rPr>
      </w:pPr>
    </w:p>
    <w:p>
      <w:pPr>
        <w:ind w:right="120" w:firstLine="255"/>
        <w:spacing w:after="0" w:line="253" w:lineRule="auto"/>
        <w:rPr>
          <w:sz w:val="20"/>
          <w:szCs w:val="20"/>
          <w:color w:val="auto"/>
        </w:rPr>
      </w:pPr>
      <w:r>
        <w:rPr>
          <w:rFonts w:ascii="Times New Roman" w:cs="Times New Roman" w:eastAsia="Times New Roman" w:hAnsi="Times New Roman"/>
          <w:sz w:val="14"/>
          <w:szCs w:val="14"/>
          <w:color w:val="auto"/>
        </w:rPr>
        <w:t>Further, consumer preferences continue to evolve due to a number of factors, including evolving consumer concerns or perceptions (whether or not valid) regarding environmental, social and governance (“ESG”) practices, including the sourcing and sustainability of packaging materials, a growing demand for natural or organic products and ingredients and ingredient transparency, evolving consumer concerns or perceptions regarding the effects of ingredients, changing consumer sentiment toward non-local products or sources and changing perceptions of and increased focus on labor and human rights and environmental impacts (including responsible sourcing, deforestation, packaging, plastic, energy and water use and waste management).</w:t>
      </w:r>
    </w:p>
    <w:p>
      <w:pPr>
        <w:spacing w:after="0" w:line="170" w:lineRule="exact"/>
        <w:rPr>
          <w:sz w:val="20"/>
          <w:szCs w:val="20"/>
          <w:color w:val="auto"/>
        </w:rPr>
      </w:pPr>
    </w:p>
    <w:p>
      <w:pPr>
        <w:ind w:right="80" w:firstLine="255"/>
        <w:spacing w:after="0" w:line="271" w:lineRule="auto"/>
        <w:rPr>
          <w:sz w:val="20"/>
          <w:szCs w:val="20"/>
          <w:color w:val="auto"/>
        </w:rPr>
      </w:pPr>
      <w:r>
        <w:rPr>
          <w:rFonts w:ascii="Times New Roman" w:cs="Times New Roman" w:eastAsia="Times New Roman" w:hAnsi="Times New Roman"/>
          <w:sz w:val="14"/>
          <w:szCs w:val="14"/>
          <w:color w:val="auto"/>
        </w:rPr>
        <w:t>If we are not successful in continuing to adapt or to effectively react to changes in consumer behaviors, preferences or purchasing patterns and/or changing market dynamics, including customer policies or the proliferation of eCommerce and alternative retail channels, our business, results of operations, cash flows and financial condition could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growth of our business depends on the successful identification, development and launch of innovative new products.</w:t>
      </w:r>
    </w:p>
    <w:p>
      <w:pPr>
        <w:spacing w:after="0" w:line="202"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Our growth depends on the continued success of existing products, the successful identification, development and launch of innovative new and differentiated products and the expansion into adjacent categories, channels of distribution or geographies. Our ability to launch new products, to sustain existing products and to expand into adjacent categories, channels of distribution or geographies is affected by whether we can successfully:</w:t>
      </w:r>
    </w:p>
    <w:p>
      <w:pPr>
        <w:spacing w:after="0" w:line="15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develop and fund technological innovations;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necessary intellectual property protection and avoid infringing intellectual property rights of others;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approvals and registrations of regulated products, including from the FDA and other regulatory bodies in the U.S. and abroad;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quickly respond to the needs and preferences of consumers and customers.</w:t>
      </w:r>
    </w:p>
    <w:p>
      <w:pPr>
        <w:spacing w:after="0" w:line="200"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identification, development and introduction of innovative new products that drive incremental sales involves considerable costs and effort, and any new product may not generate sufficient customer and consumer interest and sales to become a profitable product or to cover the costs of its development and promotion. Our ability to achieve a successful launch of a new product could also be adversely affected by preemptive actions taken by competitors in response to the launch, such as increased promotional activities and advertising. In addition, new products may not be accepted quickly or significantly in the marketplace.</w:t>
      </w:r>
    </w:p>
    <w:p>
      <w:pPr>
        <w:spacing w:after="0" w:line="162"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Our ability to quickly innovate to adapt and market our products and to adapt our packaging and the sustainability profile of our products to meet evolving consumer preferences is an essential part of our business strategy. The failure 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2" w:name="page13"/>
    <w:bookmarkEnd w:id="12"/>
    <w:p>
      <w:pPr>
        <w:spacing w:after="0" w:line="264" w:lineRule="auto"/>
        <w:rPr>
          <w:sz w:val="20"/>
          <w:szCs w:val="20"/>
          <w:color w:val="auto"/>
        </w:rPr>
      </w:pPr>
      <w:r>
        <w:rPr>
          <w:rFonts w:ascii="Times New Roman" w:cs="Times New Roman" w:eastAsia="Times New Roman" w:hAnsi="Times New Roman"/>
          <w:sz w:val="14"/>
          <w:szCs w:val="14"/>
          <w:color w:val="auto"/>
        </w:rPr>
        <w:t>develop and launch successful new products or to adapt our packaging, the sustainability profile of our products or supply chain to meet such preferences could hinder the growth of our business and any delay in the development or launch of a new product could result in us not being the first to market, which could compromise our competitive position and adversely affect our business, results of operations, cash flows and financial condition. In addition, our success in launching new products is also dependent on our ability to deliver effective and efficient marketing in an evolving media landscape (including digital), which is subject to dynamic and increasingly restrictive privacy requirements.</w:t>
      </w:r>
    </w:p>
    <w:p>
      <w:pPr>
        <w:spacing w:after="0" w:line="16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If, in the course of identifying or developing new products, we are found to have infringed the trademark, trade secret, copyright, patent or other intellectual property rights of others, directly or indirectly, through the use of third-party ideas or technologies, such a finding could adversely affect our ability to develop innovative new products and adversely affect our business, results of operations, cash flows and financial condition. Even if we are not found to infringe a third party’s intellectual property rights, claims of infringement could adversely affect us, including by increasing costs and by delaying the launch of new products.</w:t>
      </w:r>
    </w:p>
    <w:p>
      <w:pPr>
        <w:spacing w:after="0" w:line="35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We face various risks related to pandemics, epidemics or similar widespread public health concerns, which may have a material adverse effect on our business, results of operations, cash flows and financial condition.</w:t>
      </w:r>
    </w:p>
    <w:p>
      <w:pPr>
        <w:spacing w:after="0" w:line="143"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We face various risks related to pandemics, epidemics or similar widespread public health concerns, including the COVID-19 pandemic. A pandemic, epidemic or similar widespread health concern could have, and COVID-19 has had and may continue to have, a variety of impacts on our business, results of operations, cash flows and financial condition, including:</w:t>
      </w:r>
    </w:p>
    <w:p>
      <w:pPr>
        <w:spacing w:after="0" w:line="145"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maintain and support the health, safety and well-being of our employees, including key employees;</w:t>
      </w:r>
    </w:p>
    <w:p>
      <w:pPr>
        <w:spacing w:after="0" w:line="199"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our global supply chain, including the closure of manufacturing and distribution facilities, due to, among other things, the lack of availability of raw and packaging materials or manufacturing components; a decrease in our workforce or in the efficiency of such workforce, including as a result of illness, travel restrictions, absenteeism or governmental regulations; transportation and logistics challenges, including as a result of port and border closures and other governmental restrictions or volume and capacity restraints; or the impact of a pandemic, epidemic or other health emergencies, such as the COVID-19 pandemic on our retailers, third party suppliers, contract manufacturers, logistics providers or distributors;</w:t>
      </w:r>
    </w:p>
    <w:p>
      <w:pPr>
        <w:spacing w:after="0" w:line="159" w:lineRule="exact"/>
        <w:rPr>
          <w:rFonts w:ascii="Times New Roman" w:cs="Times New Roman" w:eastAsia="Times New Roman" w:hAnsi="Times New Roman"/>
          <w:sz w:val="14"/>
          <w:szCs w:val="14"/>
          <w:color w:val="auto"/>
        </w:rPr>
      </w:pPr>
    </w:p>
    <w:p>
      <w:pPr>
        <w:ind w:left="520" w:hanging="260"/>
        <w:spacing w:after="0" w:line="262"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demand for and availability of our products, which may be caused by the temporary inability of our consumers to purchase our products due to illness, financial hardship, quarantine, government actions mandating the closure of our facilities, distributors or retailers and/or imposing travel or movement restrictions, shifts in demand and consumption away from more discretionary or higher priced products to lower-priced products or pantry-loading activity;</w:t>
      </w:r>
    </w:p>
    <w:p>
      <w:pPr>
        <w:spacing w:after="0" w:line="1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purchasing patterns of our consumers, including a shift to purchasing our products online and disruptions in certain channels;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volatility in demand for certain of our products, which may require us to increase our production capacity or acquire additional capacity at an additional cost and expense;</w:t>
      </w:r>
    </w:p>
    <w:p>
      <w:pPr>
        <w:spacing w:after="0" w:line="199"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third parties on which we rely, including our retailers, suppliers, contract manufacturers, logistics providers, customers, commercial banks, joint venture partners and external business partners, to meet their obligations to us, or significant disruptions in their ability to do so, which may be caused by their own financial or operational difficulties;</w:t>
      </w:r>
    </w:p>
    <w:p>
      <w:pPr>
        <w:spacing w:after="0" w:line="145" w:lineRule="exact"/>
        <w:rPr>
          <w:rFonts w:ascii="Times New Roman" w:cs="Times New Roman" w:eastAsia="Times New Roman" w:hAnsi="Times New Roman"/>
          <w:sz w:val="14"/>
          <w:szCs w:val="14"/>
          <w:color w:val="auto"/>
        </w:rPr>
      </w:pPr>
    </w:p>
    <w:p>
      <w:pPr>
        <w:ind w:left="520" w:right="6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the economic and political conditions of the markets in which we operate, which could restrict our employees’ ability to work and travel, could mandate the closure of certain distributors or retailers, our offices, shared business service centers and/or operating and manufacturing facilities or otherwise could prevent us as well as our third-party partners, suppliers or customers from sufficiently staffing operations, including operations necessary for the manufacture, distribution, sale and support of our products;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13" w:name="page14"/>
    <w:bookmarkEnd w:id="13"/>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and volatility in the global capital markets, including rising interest rates, which may increase the cost of capital and adversely impact our access to capital; and/or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foreign exchange rates and increases in the cost and availability of raw and packaging materials and transportation and logistics costs.</w:t>
      </w:r>
    </w:p>
    <w:p>
      <w:pPr>
        <w:spacing w:after="0" w:line="189" w:lineRule="exact"/>
        <w:rPr>
          <w:sz w:val="20"/>
          <w:szCs w:val="20"/>
          <w:color w:val="auto"/>
        </w:rPr>
      </w:pPr>
    </w:p>
    <w:p>
      <w:pPr>
        <w:ind w:right="20" w:firstLine="255"/>
        <w:spacing w:after="0" w:line="248" w:lineRule="auto"/>
        <w:rPr>
          <w:sz w:val="20"/>
          <w:szCs w:val="20"/>
          <w:color w:val="auto"/>
        </w:rPr>
      </w:pPr>
      <w:r>
        <w:rPr>
          <w:rFonts w:ascii="Times New Roman" w:cs="Times New Roman" w:eastAsia="Times New Roman" w:hAnsi="Times New Roman"/>
          <w:sz w:val="14"/>
          <w:szCs w:val="14"/>
          <w:color w:val="auto"/>
        </w:rPr>
        <w:t>During the COVID-19 pandemic, many of the communities in which we manufacture, market and sell our products experienced and may in the future experience “stay at home” orders, travel or movement restrictions and other government actions to address the pandemic. While the impact of COVID-19 on our business has largely abated at this time, uncertainties continue, particularly in China where we have substantial manufacturing facilities and business, and in the travel retail channel, where we have experienced and may continue to experience disruptions particularly in our Filorga business. We have also experienced and may continue to experience certain disruptions to our global supply chain due to COVID-19, which have impacted and may continue to impact sales of and consumer access to our products. We have also witnessed and may continue to witness changes in the purchasing patterns of our customers, including a shift in many markets to purchasing our products online. COVID-19 may continue to impact consumer behavior and preferences, shopping patterns and consumption preferences. Uncertainty resulting from COVID-19 could result in an unforeseen additional disruption to our business, including our global supply chain and retailer network, and/or require us to incur additional operational costs.</w:t>
      </w:r>
    </w:p>
    <w:p>
      <w:pPr>
        <w:spacing w:after="0" w:line="17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4"/>
          <w:szCs w:val="14"/>
          <w:color w:val="auto"/>
        </w:rPr>
        <w:t>These and other risks related to COVID-19 have adversely affected and may continue to adversely affect our business, results of operations, cash flows and financial condition. Furthermore, these and other impacts of COVID-19 could also have the effect of heightening many of the other risk factors included in this Item 1A, “Risk Factors,” which could adversely affect our business, results of operations, cash flows and financial condition. For additional information regarding how COVID-19 has affected or is expected to affect our business, refer to Part II, Item 7 “Management’s Discussion and Analysis of Financial Condition and Results of Operations – Executive Overview.”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Damage to our reputation could have an adverse effect on our business.</w:t>
      </w:r>
    </w:p>
    <w:p>
      <w:pPr>
        <w:spacing w:after="0" w:line="202" w:lineRule="exact"/>
        <w:rPr>
          <w:sz w:val="20"/>
          <w:szCs w:val="20"/>
          <w:color w:val="auto"/>
        </w:rPr>
      </w:pPr>
    </w:p>
    <w:p>
      <w:pPr>
        <w:ind w:right="40" w:firstLine="255"/>
        <w:spacing w:after="0" w:line="248" w:lineRule="auto"/>
        <w:rPr>
          <w:sz w:val="20"/>
          <w:szCs w:val="20"/>
          <w:color w:val="auto"/>
        </w:rPr>
      </w:pPr>
      <w:r>
        <w:rPr>
          <w:rFonts w:ascii="Times New Roman" w:cs="Times New Roman" w:eastAsia="Times New Roman" w:hAnsi="Times New Roman"/>
          <w:sz w:val="14"/>
          <w:szCs w:val="14"/>
          <w:color w:val="auto"/>
        </w:rPr>
        <w:t>Maintaining our strong reputation with consumers and our trade partners globally is critical to selling our branded products. Accordingly, we devote significant time and resources to programs designed to protect and preserve our reputation, such as our ethics and compliance, ESG, brand protection and product safety, regulatory and quality initiatives. Negative publicity about us, our brands, our products, our supply chain, our ingredients, our packaging, our ESG practices, or our employees, whether or not deserved, could jeopardize our reputation. Such negative publicity could relate to, among other things, health concerns, threatened or pending litigation or regulatory proceedings, labor and human rights and environmental impact (including responsible sourcing, deforestation, packaging, plastic, energy and water use and waste management) or our ESG practices. In addition, the proliferation of digital and social media has greatly increased the accessibility of information and the speed of its dissemination and the potential for negative publicity. Negative publicity, posts or comments on digital and social media, whether true or untrue, could damage our brands and our reputation. The success of our brands could also suffer if our marketing initiatives do not have the desired impact on a brand’s image or its ability to attract consumers.</w:t>
      </w:r>
    </w:p>
    <w:p>
      <w:pPr>
        <w:spacing w:after="0" w:line="162"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Additionally, due to the scale and scope of our business, we must rely on relationships with third parties, including our suppliers, distributors, contractors, joint venture partners and other external business partners, for certain functions. While we have policies and procedures for managing these relationships, they inherently involve a lesser degree of control over business operations, compliance and ESG practices, thereby potentially increasing our reputational and legal risk.</w:t>
      </w:r>
    </w:p>
    <w:p>
      <w:pPr>
        <w:spacing w:after="0" w:line="152"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We have taken and in the future may take certain actions to safeguard our reputation and uphold our ethical values, such as changes to how and where we sell, advertise and invest behind our products and operations, which could adversely affect our business, results of operations, cash flows and financial condition.</w:t>
      </w:r>
    </w:p>
    <w:p>
      <w:pPr>
        <w:spacing w:after="0" w:line="135"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In addition, third parties sell counterfeit versions of our products, which are inferior or may pose safety risks. As a result, consumers of our brands could confuse our products with these counterfeit products, which could cause them to refrain from purchasing our brands in the future and in turn could impair our brand equity and adversely affect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4" w:name="page15"/>
    <w:bookmarkEnd w:id="14"/>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Damage to our reputation or loss of consumer confidence in our products for these or any other reasons could adversely affect our business, results of operations, cash flows and financial condition, as well as require resources to rebuild our reputation.</w:t>
      </w:r>
    </w:p>
    <w:p>
      <w:pPr>
        <w:spacing w:after="0" w:line="14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color w:val="auto"/>
        </w:rPr>
        <w:t>Our success depends upon our ability to recruit, attract and retain key employees, including through the implementation of diversity, equity and inclusion initiatives, and the succession of senior management.</w:t>
      </w:r>
    </w:p>
    <w:p>
      <w:pPr>
        <w:spacing w:after="0" w:line="143" w:lineRule="exact"/>
        <w:rPr>
          <w:sz w:val="20"/>
          <w:szCs w:val="20"/>
          <w:color w:val="auto"/>
        </w:rPr>
      </w:pPr>
    </w:p>
    <w:p>
      <w:pPr>
        <w:ind w:firstLine="255"/>
        <w:spacing w:after="0" w:line="249" w:lineRule="auto"/>
        <w:rPr>
          <w:sz w:val="20"/>
          <w:szCs w:val="20"/>
          <w:color w:val="auto"/>
        </w:rPr>
      </w:pPr>
      <w:r>
        <w:rPr>
          <w:rFonts w:ascii="Times New Roman" w:cs="Times New Roman" w:eastAsia="Times New Roman" w:hAnsi="Times New Roman"/>
          <w:sz w:val="14"/>
          <w:szCs w:val="14"/>
          <w:color w:val="auto"/>
        </w:rPr>
        <w:t>Our success largely depends on the performance of our management team and other key employees. If we are unable to recruit, attract and retain talented, highly qualified senior management and other key people, our business, results of operations, cash flows and financial condition could be adversely affected. Successfully executing organizational change, including management transitions at leadership levels of the Company and succession plans for senior management, is critical to our business success. While we follow a disciplined, ongoing succession planning process and have succession plans in place for senior management and other key executives, these do not guarantee that the services of qualified senior executives will continue to be available to us at particular moments in time. Further, changes in immigration laws and government policies, including related to the COVID-19 pandemic, have made, in certain circumstances, and may continue to make, it more difficult for us to recruit or relocate highly skilled technical, professional and management personnel to meet our business needs. Our ability to attract and retain talent has been and may continue to be impacted by challenges in the labor market, particularly in the United States, which has experienced and may continue to experience wage inflation, labor shortages and a shift toward a hybrid working model. In addition, we continue to work to advance culture change through the implementation of DE&amp;I initiatives throughout our organization. We continue to embed new ways of</w:t>
      </w:r>
    </w:p>
    <w:p>
      <w:pPr>
        <w:spacing w:after="0" w:line="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4"/>
          <w:szCs w:val="14"/>
          <w:color w:val="auto"/>
        </w:rPr>
        <w:t>working throughout the organization to, among other things, instill a growth mindset to drive innovation with focus, empowerment, experimentation and digitization. If we do not (or are perceived not to) successfully implement these initiatives, our ability to recruit, attract and retain talent may be adversely impacted.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have pursued and may continue to pursue acquisitions and divestitures, which could adversely impact our business.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have pursued and may continue to pursue acquisitions of brands, businesses, assets or technologies from third parties. Acquisitions and their pursuit have involved, and can involve, numerous potential risks, including, among other things:</w:t>
      </w:r>
    </w:p>
    <w:p>
      <w:pPr>
        <w:spacing w:after="0" w:line="145"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realizing the full extent of the expected benefits or synergies as a result of a transaction, within the anticipated time frame, or at all;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integrating the operations, technologies, services, products and systems of the acquired brands, assets or businesses in an effective, timely and cost-efficient manner;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receiving necessary consents, clearances and approvals in connection with a transaction;</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diverting management’s attention from other business priorities;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operating in new lines of business, channels of distribution or markets;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distribution expansion related to products, categories and markets;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retaining key employees, partners, suppliers and customers of the acquired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conforming standards, controls, procedures and policies of the acquired business with our own;</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or launching products with acquired technologies;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unanticipated problems or liabilities.</w:t>
      </w:r>
    </w:p>
    <w:p>
      <w:pPr>
        <w:spacing w:after="0" w:line="221" w:lineRule="exact"/>
        <w:rPr>
          <w:sz w:val="20"/>
          <w:szCs w:val="20"/>
          <w:color w:val="auto"/>
        </w:rPr>
      </w:pPr>
    </w:p>
    <w:p>
      <w:pPr>
        <w:ind w:right="640" w:firstLine="255"/>
        <w:spacing w:after="0" w:line="271" w:lineRule="auto"/>
        <w:rPr>
          <w:sz w:val="20"/>
          <w:szCs w:val="20"/>
          <w:color w:val="auto"/>
        </w:rPr>
      </w:pPr>
      <w:r>
        <w:rPr>
          <w:rFonts w:ascii="Times New Roman" w:cs="Times New Roman" w:eastAsia="Times New Roman" w:hAnsi="Times New Roman"/>
          <w:sz w:val="14"/>
          <w:szCs w:val="14"/>
          <w:color w:val="auto"/>
        </w:rPr>
        <w:t>Moreover, acquisitions have resulted in and could in the future result in substantial additional debt, the assumption of contingent liabilities, such as litigation or earn-out obligations, or transaction costs. In addition, to the extent that the economic benefits associated with an acquisition or investment diminish in the future or the performance of an acquired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5" w:name="page16"/>
    <w:bookmarkEnd w:id="15"/>
    <w:p>
      <w:pPr>
        <w:spacing w:after="0" w:line="248" w:lineRule="auto"/>
        <w:rPr>
          <w:sz w:val="20"/>
          <w:szCs w:val="20"/>
          <w:color w:val="auto"/>
        </w:rPr>
      </w:pPr>
      <w:r>
        <w:rPr>
          <w:rFonts w:ascii="Times New Roman" w:cs="Times New Roman" w:eastAsia="Times New Roman" w:hAnsi="Times New Roman"/>
          <w:sz w:val="14"/>
          <w:szCs w:val="14"/>
          <w:color w:val="auto"/>
        </w:rPr>
        <w:t>company or business is less robust than expected, we may be required to record additional impairments of intangible assets, including trademarks and goodwill. For example, in the fourth quarter of 2022, we took non-cash, aftertax impairment charges of $620 million, to adjust the carrying values of goodwill and intangible assets related to the Filorga skin health business. For additional information regarding recent impairment charges, refer to Part II, Item 7 “Management’s Discussion and Analysis of Financial Condition and Results of Operations - Results of Operations - Goodwill and Intangible Asset Impairment Charges.” Any of these risks could adversely impact our reputation and our business, results of operations, cash flows and financial condition.</w:t>
      </w:r>
    </w:p>
    <w:p>
      <w:pPr>
        <w:spacing w:after="0" w:line="173"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We have divested and may in the future periodically divest brands or businesses. These divestitures may adversely impact our business, results of operations, cash flows and financial condition if we are unable to offset the dilutive impacts from the loss of revenue associated with the divested brands or businesses, or otherwise achieve the anticipated benefits or cost savings from the divestitures. In addition, businesses under consideration for, or otherwise subject to, divestiture may be adversely impacted prior to the divestiture, which could negatively impact our business, results of operations, cash flows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results are impacted by our ability to manage disruptions in our global supply chain and/or key office facilities.</w:t>
      </w:r>
    </w:p>
    <w:p>
      <w:pPr>
        <w:spacing w:after="0" w:line="202"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We are engaged in the manufacture and sourcing of products and materials on a global scale. Our operations and those of our suppliers, contract manufacturers or logistics providers have been and may continue to be disrupted by a number of factors, including, but not limited to:</w:t>
      </w:r>
    </w:p>
    <w:p>
      <w:pPr>
        <w:spacing w:after="0" w:line="145"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events, wars and military conflicts, such as the war in Ukraine;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widespread health emergencies, such as COVID-19 or other pandemics or epidemics;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strikes and other labor disputes;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logistics;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or impairment of key manufacturing or distribution sites;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suppliers or contract manufacturers;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constraints;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raw material and product quality or safety issues;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accidents or other occupational health and safety issues;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suppliers of tighter credit or capital markets;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availability of qualified personnel, such as truck drivers and production labor;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incentives and controls (including import and export restrictions, such as new or increased tariffs, sanctions, quotas or trade barriers); and</w:t>
      </w:r>
    </w:p>
    <w:p>
      <w:pPr>
        <w:spacing w:after="0" w:line="199" w:lineRule="exact"/>
        <w:rPr>
          <w:rFonts w:ascii="Times New Roman" w:cs="Times New Roman" w:eastAsia="Times New Roman" w:hAnsi="Times New Roman"/>
          <w:sz w:val="14"/>
          <w:szCs w:val="14"/>
          <w:color w:val="auto"/>
        </w:rPr>
      </w:pPr>
    </w:p>
    <w:p>
      <w:pPr>
        <w:ind w:left="520" w:right="28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including climatic events (including any potential effects of climate change) and earthquakes, tornadoes, acts of war or terrorism, political unrest or uncertainty, fires or explosions, cyber-security incidents and other external factors over which we have no control.</w:t>
      </w:r>
    </w:p>
    <w:p>
      <w:pPr>
        <w:spacing w:after="0" w:line="145" w:lineRule="exact"/>
        <w:rPr>
          <w:sz w:val="20"/>
          <w:szCs w:val="20"/>
          <w:color w:val="auto"/>
        </w:rPr>
      </w:pPr>
    </w:p>
    <w:p>
      <w:pPr>
        <w:ind w:right="420" w:firstLine="255"/>
        <w:spacing w:after="0" w:line="271" w:lineRule="auto"/>
        <w:rPr>
          <w:sz w:val="20"/>
          <w:szCs w:val="20"/>
          <w:color w:val="auto"/>
        </w:rPr>
      </w:pPr>
      <w:r>
        <w:rPr>
          <w:rFonts w:ascii="Times New Roman" w:cs="Times New Roman" w:eastAsia="Times New Roman" w:hAnsi="Times New Roman"/>
          <w:sz w:val="14"/>
          <w:szCs w:val="14"/>
          <w:color w:val="auto"/>
        </w:rPr>
        <w:t>In addition, we purchase certain key raw and packaging materials from single-source suppliers or a limited number of suppliers and new suppliers may have to be qualified under industry, governmental and/or Colgate standards, which can require additional investment and take a significant period of time. If our existing or new suppliers fail to meet such</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standards or if we are unable to contract with suppliers on favorable terms, our business, results of operations, cash flows and financial condition could be adversely affected.</w:t>
      </w:r>
    </w:p>
    <w:p>
      <w:pPr>
        <w:spacing w:after="0" w:line="189"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4"/>
          <w:szCs w:val="14"/>
          <w:color w:val="auto"/>
        </w:rPr>
        <w:t>We believe that the supplies of raw and packaging materials needed to manufacture our products are adequate. In addition, we have business continuity and contingency plans in place for key manufacturing sites and contract manufacturers and the supply of raw and packaging materials. Nonetheless, a significant disruption to the manufacturing or sourcing of products or materials for any reason, including those mentioned above, have at times interrupted and could, in the future, interrupt product supply and, if not remedied, could have an adverse impact on our business, results of operations, cash flows and financial condition.</w:t>
      </w:r>
    </w:p>
    <w:p>
      <w:pPr>
        <w:spacing w:after="0" w:line="170" w:lineRule="exact"/>
        <w:rPr>
          <w:sz w:val="20"/>
          <w:szCs w:val="20"/>
          <w:color w:val="auto"/>
        </w:rPr>
      </w:pPr>
    </w:p>
    <w:p>
      <w:pPr>
        <w:ind w:right="180" w:firstLine="255"/>
        <w:spacing w:after="0" w:line="254" w:lineRule="auto"/>
        <w:rPr>
          <w:sz w:val="20"/>
          <w:szCs w:val="20"/>
          <w:color w:val="auto"/>
        </w:rPr>
      </w:pPr>
      <w:r>
        <w:rPr>
          <w:rFonts w:ascii="Times New Roman" w:cs="Times New Roman" w:eastAsia="Times New Roman" w:hAnsi="Times New Roman"/>
          <w:sz w:val="14"/>
          <w:szCs w:val="14"/>
          <w:color w:val="auto"/>
        </w:rPr>
        <w:t>In addition, as a result of our global shared service organizational model, certain of our functions, such as finance and accounting, customer service and logistics, human resources, global information technology and data analytics are concentrated in key office facilities. A significant disruption to any of our key office facilities for any reason, including those mentioned above, could adversely affect our business, results of operations, cash flows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Volatility in material and other costs could adversely impact our profitability.</w:t>
      </w:r>
    </w:p>
    <w:p>
      <w:pPr>
        <w:spacing w:after="0" w:line="202"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4"/>
          <w:szCs w:val="14"/>
          <w:color w:val="auto"/>
        </w:rPr>
        <w:t>Raw and packaging material commodities, such as essential oils, resins, tropical oils, pulp, tallow, corn, poultry and soybeans, are subject to market price variations. Increases in the costs of and/or a reduction in the availability of commodities, energy and logistics (including trucks and containers) and other necessary services, including as a result of COVID-19 and/or the war in Ukraine, have affected and are likely to continue to adversely affect our profit margins. Inflationary pressures have also increased and may continue to increase the cost of such commodities and services. We have taken and may continue to take actions to mitigate these cost increases in the form of price increases and efforts to achieve cost efficiencies in areas such as manufacturing and distribution, or otherwise manage the exposure through sourcing strategies, ongoing productivity initiatives and the limited use of commodity hedging contracts. These actions may not, however, fully offset these higher costs and our business, results of operations, cash flows and financial condition have been and may continue to be adversely impacted. In addition, even if we are able to increase the prices of our products in response to commodity and other cost increases, we may not be able to sustain the price increases which may lead to declines in volume. If competitors do not adjust their prices or if consumers decide not to pay higher prices and forego purchasing certain of our products or switch to “private label” or lower-priced product offerings, sales declines, a deterioration in our profitability and loss of market share may occur which could adversely affect our business, results of operations, cash flows and financial condition. See “Our business results depend on our ability to manage disruptions in our global supply chain and/or key office facilities” above for additional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There is no guarantee that our ongoing efforts to reduce costs will be successful.</w:t>
      </w:r>
    </w:p>
    <w:p>
      <w:pPr>
        <w:spacing w:after="0" w:line="202"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One way that we generate funds needed to support the growth of our business is through our continuous, Company-wide initiatives to lower costs and increase effective asset utilization, which we refer to as our funding-the-growth initiatives. These initiatives are designed to reduce costs associated with direct materials, indirect expenses, distribution and logistics, and advertising and promotional materials, among other things. The achievement of our funding-the-growth goals depends on our ability to successfully identify and realize additional savings opportunities. Events and circumstances, such as financial or strategic difficulties, delays and unexpected costs may occur that could result in our not realizing any or all of the anticipated benefits or our not realizing the anticipated benefits on our expected timetable. If we are unable to realize the anticipated savings of our funding-the-growth initiatives, our ability to fund other initiatives and achieve our profitability goals may be adversely affected. Any failure to implement our funding-the-growth initiatives in accordance with our expectations could adversely affect our business, results of operations, cash flows and financial condition. For additional information regarding our funding-the-growth initiatives, refer to Part II, Item 7 “Management’s Discussion and Analysis of Financial Condition and Results of Operations – Executive Overview.”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fully realize the benefits that we expect from our 2022 Global Productivity Initiative</w:t>
      </w:r>
      <w:r>
        <w:rPr>
          <w:rFonts w:ascii="Times New Roman" w:cs="Times New Roman" w:eastAsia="Times New Roman" w:hAnsi="Times New Roman"/>
          <w:sz w:val="14"/>
          <w:szCs w:val="14"/>
          <w:color w:val="auto"/>
        </w:rPr>
        <w:t>.</w:t>
      </w:r>
    </w:p>
    <w:p>
      <w:pPr>
        <w:spacing w:after="0" w:line="191"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4"/>
          <w:szCs w:val="14"/>
          <w:color w:val="auto"/>
        </w:rPr>
        <w:t>On January 27, 2022, the Board approved a targeted productivity program (the “2022 Global Productivity Initiative”). The program is intended to reallocate resources toward our strategic priorities and faster growth businesses, drive efficiencies in our operations and streamline our supply chain to reduce structural costs. The successful implementation of the program may present organizational challenges and, in some cases, may require successful negotiations with third parties. As a result, we may not be able to fully realize all of the anticipated benefits from the 2022 Global Productivity Initiative. Events and circumstances, such as financial or strategic difficulties, delays and unexpected costs may occur that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7" w:name="page18"/>
    <w:bookmarkEnd w:id="17"/>
    <w:p>
      <w:pPr>
        <w:ind w:right="20"/>
        <w:spacing w:after="0" w:line="249" w:lineRule="auto"/>
        <w:rPr>
          <w:sz w:val="20"/>
          <w:szCs w:val="20"/>
          <w:color w:val="auto"/>
        </w:rPr>
      </w:pPr>
      <w:r>
        <w:rPr>
          <w:rFonts w:ascii="Times New Roman" w:cs="Times New Roman" w:eastAsia="Times New Roman" w:hAnsi="Times New Roman"/>
          <w:sz w:val="14"/>
          <w:szCs w:val="14"/>
          <w:color w:val="auto"/>
        </w:rPr>
        <w:t>could result in our not realizing all of the anticipated benefits or our not realizing such benefits on our expected timetable. In addition, changes in foreign exchange rates or in tax, labor or immigration laws may result in our not achieving the anticipated cost savings as measured in U.S. dollars. If we are unable to fully realize the anticipated savings from the 2022 Global Productivity Initiative, our ability to fund other initiatives and enhance profitability may be adversely affected. Any failure to implement the 2022 Global Productivity Initiative in accordance with our expectations could adversely affect our business, results of operations, cash flows and financial condition. For additional information regarding the 2022 Global Productivity Initiative, refer to Part II, Item 7 “Management’s Discussion and Analysis of Financial Condition and Results of Operations – Restructuring and Related Implementation Charges.”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cyber-security incident, data breach or a failure of a key information technology system could adversely impact our business.</w:t>
      </w:r>
    </w:p>
    <w:p>
      <w:pPr>
        <w:spacing w:after="0" w:line="202" w:lineRule="exact"/>
        <w:rPr>
          <w:sz w:val="20"/>
          <w:szCs w:val="20"/>
          <w:color w:val="auto"/>
        </w:rPr>
      </w:pPr>
    </w:p>
    <w:p>
      <w:pPr>
        <w:ind w:right="540" w:firstLine="255"/>
        <w:spacing w:after="0" w:line="287" w:lineRule="auto"/>
        <w:rPr>
          <w:sz w:val="20"/>
          <w:szCs w:val="20"/>
          <w:color w:val="auto"/>
        </w:rPr>
      </w:pPr>
      <w:r>
        <w:rPr>
          <w:rFonts w:ascii="Times New Roman" w:cs="Times New Roman" w:eastAsia="Times New Roman" w:hAnsi="Times New Roman"/>
          <w:sz w:val="14"/>
          <w:szCs w:val="14"/>
          <w:color w:val="auto"/>
        </w:rPr>
        <w:t>We rely extensively on information technology systems (“IT Systems”), including some which are managed, hosted, provided and/or used by third parties, including cloud-based service providers, and their vendors, in order to conduct our business. Our uses of these systems include, but are not limited to:</w:t>
      </w:r>
    </w:p>
    <w:p>
      <w:pPr>
        <w:spacing w:after="0" w:line="145"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communicating within our company and with other parties, including our customers and consumers;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ordering and managing materials from suppliers;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converting materials to finished products;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receiving and processing orders from, shipping products to and invoicing our customers and consumers;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products to consumers;</w:t>
      </w:r>
    </w:p>
    <w:p>
      <w:pPr>
        <w:spacing w:after="0" w:line="199"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collecting, storing, transferring and/or processing customer, consumer, employee, vendor, investor and other stakeholder information and personal data, including, but not limited to, such data from residents of states, countries and regions with important data protection laws and regulations;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processing transactions, including but not limited to employee payroll, employee and retiree benefits and payments to customers and vendors;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hosting, processing and sharing confidential and proprietary research, intellectual property, business plans and financial information;</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summarizing and reporting results of operations, including financial reporting;</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our banking and other cash liquidity systems and platforms;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legal, regulatory and tax requirements;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data security;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handling other processes involved in managing our business.</w:t>
      </w:r>
    </w:p>
    <w:p>
      <w:pPr>
        <w:spacing w:after="0" w:line="189" w:lineRule="exact"/>
        <w:rPr>
          <w:sz w:val="20"/>
          <w:szCs w:val="20"/>
          <w:color w:val="auto"/>
        </w:rPr>
      </w:pPr>
    </w:p>
    <w:p>
      <w:pPr>
        <w:ind w:firstLine="255"/>
        <w:spacing w:after="0"/>
        <w:rPr>
          <w:sz w:val="20"/>
          <w:szCs w:val="20"/>
          <w:color w:val="auto"/>
        </w:rPr>
      </w:pPr>
      <w:r>
        <w:rPr>
          <w:rFonts w:ascii="Times New Roman" w:cs="Times New Roman" w:eastAsia="Times New Roman" w:hAnsi="Times New Roman"/>
          <w:sz w:val="14"/>
          <w:szCs w:val="14"/>
          <w:color w:val="auto"/>
        </w:rPr>
        <w:t>Although we have a broad array of information security measures in place, our IT Systems, including those of third-party service providers with whom we have contracted, have been, and will likely continue to be, subject to computer viruses or other malicious codes, unauthorized access attempts, phishing and other cyber-attacks. Cyber-attacks and other cyber incidents are occurring more frequently, are constantly evolving in nature, are becoming more sophisticated and are being made by groups, individuals and nation states with a wide range of expertise and motives. Such cyber-attacks and cyber incidents can take many forms, including cyber extortion, social engineering, password theft or introduction of viruses or malware, such as ransomware through phishing emails. We cannot guarantee that our security efforts will prevent breaches or breakdowns of our, or our third-party service providers’, IT Systems since the techniques used in these attacks change frequently and may be difficult to detect for periods of time. In addition, although we have policies and procedures in place to ensure that all personal information collected by us or our third-party service providers is securely maintained, data leakages due to human error or intentional or unintentional conduct have occurred and likely will continue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18" w:name="page19"/>
    <w:bookmarkEnd w:id="18"/>
    <w:p>
      <w:pPr>
        <w:ind w:right="20"/>
        <w:spacing w:after="0" w:line="239" w:lineRule="auto"/>
        <w:rPr>
          <w:sz w:val="20"/>
          <w:szCs w:val="20"/>
          <w:color w:val="auto"/>
        </w:rPr>
      </w:pPr>
      <w:r>
        <w:rPr>
          <w:rFonts w:ascii="Times New Roman" w:cs="Times New Roman" w:eastAsia="Times New Roman" w:hAnsi="Times New Roman"/>
          <w:sz w:val="14"/>
          <w:szCs w:val="14"/>
          <w:color w:val="auto"/>
        </w:rPr>
        <w:t>to occur. Furthermore, we periodically upgrade our IT Systems or adopt new technologies. If such an upgrade or new technology does not function as designed, does not go as planned or increases our exposure to a cyber-attack or cyber incident, it may adversely impact our business, including our ability to ship products to customers, issue invoices and process payments or order raw and packaging materials. Although we have seen no material impact on our business operations from the cyber-security incidents we have experienced to date, if we suffer a significant loss or disclosure of confidential business or stakeholder information as a result of a breach of our IT Systems, including those of third-party service providers with whom we have contracted, or otherwise, we may suffer reputational, competitive and/or business harm, incur significant costs and be subject to government investigations, litigation, fines and/or damages, which may adversely impact our business, results of operations, cash flows and financial condition. In addition, while we currently maintain insurance coverage that, subject to its terms and conditions, is intended to address costs associated with certain aspects of cyber-security incidents and IT System failures, this insurance coverage may not, depending on the specific facts and circumstances surrounding an incident, cover all losses or all types of claims that arise from an incident, or the damage to our business, reputation or brands that may result from an incident.</w:t>
      </w:r>
    </w:p>
    <w:p>
      <w:pPr>
        <w:spacing w:after="0" w:line="18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4"/>
          <w:szCs w:val="14"/>
          <w:color w:val="auto"/>
        </w:rPr>
        <w:t>Furthermore, while we have disaster recovery and business continuity plans in place, if our IT Systems are damaged, breached or cease to function properly for any reason, including the poor performance of, failure of or cyber-attack on third-party service providers, catastrophic events, power outages, cyber-security breaches, network outages, failed upgrades or other similar events and, if the disaster recovery and business continuity plans do not effectively resolve such issues on a timely basis, we may suffer interruptions in our ability to manage or conduct business as well as reputational harm, and may be subject to governmental investigations and litigation, any of which may adversely impact our business, results of operations, cash flows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Climate change and other sustainability matters could have an adverse impact on our business and results of operations.</w:t>
      </w:r>
    </w:p>
    <w:p>
      <w:pPr>
        <w:spacing w:after="0" w:line="191" w:lineRule="exact"/>
        <w:rPr>
          <w:sz w:val="20"/>
          <w:szCs w:val="20"/>
          <w:color w:val="auto"/>
        </w:rPr>
      </w:pPr>
    </w:p>
    <w:p>
      <w:pPr>
        <w:ind w:firstLine="255"/>
        <w:spacing w:after="0" w:line="238" w:lineRule="auto"/>
        <w:rPr>
          <w:sz w:val="20"/>
          <w:szCs w:val="20"/>
          <w:color w:val="auto"/>
        </w:rPr>
      </w:pPr>
      <w:r>
        <w:rPr>
          <w:rFonts w:ascii="Times New Roman" w:cs="Times New Roman" w:eastAsia="Times New Roman" w:hAnsi="Times New Roman"/>
          <w:sz w:val="14"/>
          <w:szCs w:val="14"/>
          <w:color w:val="auto"/>
        </w:rPr>
        <w:t>Climate change resulting from increased concentrations of carbon dioxide and other greenhouse gases (“GHG”) in the atmosphere and its impact on global temperatures, weather patterns and the frequency and severity of natural disasters and other extreme weather conditions may adversely impact our business, results of operations, cash flows and financial condition. Specifically, the predicted effects of climate change may exacerbate challenges regarding the availability and quality of water and the cost, quality and availability of raw and packaging materials, pose physical risks to our facilities and those of our key suppliers, disrupt our global supply chain or impact demand for our products. In addition, the increased concern over climate change has resulted and is likely to continue to result in additional legal and regulatory requirements intended to, among other things, reduce or mitigate the effects of climate change and have related and may relate to, among other things, GHG emissions (e.g., carbon pricing), alternative energy policy and additional disclosure obligations. Such additional regulation may adversely affect our business, results of operations, cash flows and financial condition by increasing our compliance and manufacturing costs and/or negatively impacting our reputation if we are unable to, or are perceived (whether or not valid) not to, satisfy such requirements or expectations. Achieving our sustainability and social impact targets will require significant efforts from us and other stakeholders, such as our suppliers and other third parties. It will also require capital investment, additional expense (e.g., renewable energy costs) and the development of technology that may not currently exist. Any failure to achieve our sustainability and social impact targets or the perception (whether or not valid) that we have failed to act responsibly with respect to such matters or to effectively respond to new or additional legal or regulatory requirements regarding climate change or other sustainability matters, could result in adverse publicity and adversely affect our business and reputation. There is also increased focus, including by governmental and non-governmental organizations, investors, customers, consumers, regulators, our employees and other stakeholders on these and other sustainability and social impact matters, including responsible sourcing and deforestation, the use of plastic, energy and water, the recyclability or recoverability of packaging, including single-use and other plastic packaging, and a growing demand for natural or organic products and ingredients and ingredient transparency. Our reputation could be damaged if we do not (or are perceived not to) act responsibly with respect to sustainability matters, which could adversely affect our business, results of operations, cash flows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is subject to legal and regulatory risks in the U.S. and abroad.</w:t>
      </w:r>
    </w:p>
    <w:p>
      <w:pPr>
        <w:spacing w:after="0" w:line="202" w:lineRule="exact"/>
        <w:rPr>
          <w:sz w:val="20"/>
          <w:szCs w:val="20"/>
          <w:color w:val="auto"/>
        </w:rPr>
      </w:pPr>
    </w:p>
    <w:p>
      <w:pPr>
        <w:ind w:right="400" w:firstLine="255"/>
        <w:spacing w:after="0" w:line="264" w:lineRule="auto"/>
        <w:rPr>
          <w:sz w:val="20"/>
          <w:szCs w:val="20"/>
          <w:color w:val="auto"/>
        </w:rPr>
      </w:pPr>
      <w:r>
        <w:rPr>
          <w:rFonts w:ascii="Times New Roman" w:cs="Times New Roman" w:eastAsia="Times New Roman" w:hAnsi="Times New Roman"/>
          <w:sz w:val="14"/>
          <w:szCs w:val="14"/>
          <w:color w:val="auto"/>
        </w:rPr>
        <w:t>Our business is subject to extensive legal and regulatory requirements in the U.S. and abroad. Such legal and regulatory requirements apply to most aspects of our products, including their development, ingredients, formulation, manufacture, packaging content, labeling, storage, transportation, distribution, export, import, advertising, sale and environmental impact. U.S. federal authorities, including the U.S. Food and Drug Administration (the “FDA”), the Federal Trade Commission, the Consumer Product Safety Commission, the Occupational Safety and Health Administration and the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8" w:right="339" w:bottom="1440" w:gutter="0" w:footer="0" w:header="0"/>
        </w:sectPr>
      </w:pPr>
    </w:p>
    <w:bookmarkStart w:id="19" w:name="page20"/>
    <w:bookmarkEnd w:id="19"/>
    <w:p>
      <w:pPr>
        <w:ind w:right="180"/>
        <w:spacing w:after="0" w:line="287" w:lineRule="auto"/>
        <w:rPr>
          <w:sz w:val="20"/>
          <w:szCs w:val="20"/>
          <w:color w:val="auto"/>
        </w:rPr>
      </w:pPr>
      <w:r>
        <w:rPr>
          <w:rFonts w:ascii="Times New Roman" w:cs="Times New Roman" w:eastAsia="Times New Roman" w:hAnsi="Times New Roman"/>
          <w:sz w:val="14"/>
          <w:szCs w:val="14"/>
          <w:color w:val="auto"/>
        </w:rPr>
        <w:t>Environmental Protection Agency, regulate different aspects of our business, along with parallel authorities at the state and local levels and comparable authorities overseas. In addition, our selling practices are regulated by competition law authorities in the U.S. and abroad.</w:t>
      </w:r>
    </w:p>
    <w:p>
      <w:pPr>
        <w:spacing w:after="0" w:line="145" w:lineRule="exact"/>
        <w:rPr>
          <w:sz w:val="20"/>
          <w:szCs w:val="20"/>
          <w:color w:val="auto"/>
        </w:rPr>
      </w:pPr>
    </w:p>
    <w:p>
      <w:pPr>
        <w:ind w:right="180" w:firstLine="255"/>
        <w:spacing w:after="0" w:line="259" w:lineRule="auto"/>
        <w:rPr>
          <w:sz w:val="20"/>
          <w:szCs w:val="20"/>
          <w:color w:val="auto"/>
        </w:rPr>
      </w:pPr>
      <w:r>
        <w:rPr>
          <w:rFonts w:ascii="Times New Roman" w:cs="Times New Roman" w:eastAsia="Times New Roman" w:hAnsi="Times New Roman"/>
          <w:sz w:val="14"/>
          <w:szCs w:val="14"/>
          <w:color w:val="auto"/>
        </w:rPr>
        <w:t>New or more stringent legal or regulatory requirements, or more restrictive interpretations of existing requirements, could adversely impact our business, results of operations, cash flows and financial condition. For example, from time to time, various regulatory authorities around the world review the use of various ingredients and packaging content in consumer products. While we monitor and seek to mitigate the impact of any emerging information, a decision by a regulatory or governmental authority that any ingredient or packaging content in our products should be restricted or should otherwise be newly regulated could adversely impact our business and reputation, as could negative reactions by our consumers, trade customers or non-governmental organizations to our current or prior use of such ingredients or packaging. Additionally, an inability to develop new or reformulated products containing alternative ingredients, to obtain regulatory approval of such products or ingredients on a timely basis or to effectively market and sell such products could likewise adversely affect our business.</w:t>
      </w:r>
    </w:p>
    <w:p>
      <w:pPr>
        <w:spacing w:after="0" w:line="16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Because of our extensive international operations, we could be adversely affected by violations of worldwide anti-bribery laws, including those that prohibit companies and their intermediaries from making improper payments to government officials or other third parties for the purpose of obtaining or retaining business, such as the U.S. Foreign Corrupt Practices Act, and laws that prohibit commercial bribery. We are also subject to laws and sanctions imposed by the U.S. (including, without limitation, those imposed by OFAC) and/or by other jurisdictions that may prohibit us or certain of our affiliates from doing business in certain countries, or restrict the kind of business that may be conducted. While our policies mandate compliance with these laws, we cannot provide assurance that our internal control policies and procedures will always protect us from reckless or criminal acts committed by our employees, joint venture partners or agents. Violations of these laws, or allegations of such violations, could disrupt our business and adversely affect our reputation and our business, results of operations, cash flows and financial condition.</w:t>
      </w:r>
    </w:p>
    <w:p>
      <w:pPr>
        <w:spacing w:after="0" w:line="167"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While it is our policy and practice to comply with all legal and regulatory requirements applicable to our business, findings that we are in violation of, or out of compliance with, applicable laws or regulations have subjected us to, and could subject us to, civil remedies, including fines, damages, injunctions or product recalls, or criminal sanctions, any of which could adversely affect our business, results of operations, cash flows and financial condition. Even if a claim is unsuccessful, is without merit or is not fully pursued, the cost of responding to such a claim, including management time and out-of-pocket expenses, and the negative publicity surrounding such assertions regarding our products, processes or business practices could adversely affect our reputation, brand image and our business, results of operations, cash flows and financial condition. For information regarding our legal and regulatory matters, see Item 3 “Legal Proceedings” and Note 13, Commitments and Contingencies to the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claims and proceedings could adversely impact our business.</w:t>
      </w:r>
    </w:p>
    <w:p>
      <w:pPr>
        <w:spacing w:after="0" w:line="20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As a global company serving consumers in more than 200 countries and territories, we are and may continue to be subject to a wide variety of legal claims and proceedings, including disputes relating to intellectual property, contracts, product liability, marketing, advertising, foreign exchange controls, antitrust and trade regulation, as well as labor and employment, pension, data privacy and security, environmental and tax matters and consumer class actions.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In addition, if one of our products, or an ingredient contained in our products, is perceived or found to be defective, or unsafe or have a quality issue, we have had to and may in the future need to withdraw, recall or reformulate some of our products. Whether or not a legal claim or proceeding is successful, or a withdrawal, recall or reformulation is required or advisable, such assertions could have an adverse effect on our business, results of operations, cash flows and financial condition, and the negative publicity surrounding them could harm our reputation and brand image. The resolution of, or increase in the reserves taken in connection with, one or more of these matters in any reporting period could have a material adverse effect on our business, results of operations, cash flows and financial condition for that period. See Item 3 “Legal Proceedings” and Note 13, Commitments and Contingencies to the Consolidated Financial Statements for additional information on certain of our legal claims and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and Economic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Uncertain or unfavorable global economic conditions may adversely affect our business.</w:t>
      </w:r>
    </w:p>
    <w:p>
      <w:pPr>
        <w:spacing w:after="0" w:line="202"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Uncertain or unfavorable global economic conditions could adversely affect our business. Unfavorable global economic conditions, such as a recession, an economic slowdown, inflation, higher interest rates and/or reduced category growth rates, including as a result of the COVID-19 pandemic and/or the war in Ukraine, have negatively impacted and could negatively impact our business and result in declining revenues, profitability and/or cash flows. Although we continue to devote significant resources to support our brands and market our products at multiple price points, during periods of economic uncertainty or unfavorable economic conditions, consumers may reduce consumption or discretionary spending and/or change their purchasing patterns by foregoing purchasing certain of our products or by switching to “private label,” or lower-priced product offerings. These changes could reduce demand for our products or result in a shift in our product mix, as consumers may choose products that sell at lower prices. Additionally, our retailers may be impacted and they may increase pressure on our selling prices or increase promotional activity for lower-priced or value offerings as they seek to maintain sales volumes and margins. Furthermore, economic conditions can cause our suppliers, distributors, contract manufacturers, logistics providers or other third-party partners to suffer financial or operational difficulties, which may impact their inability to provide us with or distribute finished product, raw and packaging materials and/or services in a timely manner or at all. In addition, we could face difficulty collecting or recovering accounts receivables from third parties facing financial or operational difficulties.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Disruptions in the credit markets or changes to our credit ratings may adversely affect our business.</w:t>
      </w:r>
    </w:p>
    <w:p>
      <w:pPr>
        <w:spacing w:after="0" w:line="202"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4"/>
          <w:szCs w:val="14"/>
          <w:color w:val="auto"/>
        </w:rPr>
        <w:t>While we currently generate significant cash flows from ongoing operations and have access to global credit markets through our various financing activities, a disruption or volatility in the credit markets, interest rate increases or changes to our credit rating or changes that may result from the continued implementation of new benchmark rates that are replacing the London Interbank Offered Rate (“LIBOR”) could negatively impact the availability or cost of funding. Reduced access to credit or increased costs could adversely affect our liquidity and capital resources or significantly increase our cost of capital. In addition, if any financial institutions that hold our cash or other investments or that are parties to our undrawn revolving credit facility supporting our commercial paper programs or other financing arrangements, such as interest rate, foreign exchange or commodity hedging instruments, were to declare bankruptcy or become insolvent, they may be unable to perform under their agreements with us. This could leave us with reduced borrowing capacity or unhedged against certain interest rate, foreign currency or commodity price exposures. In addition, tighter or more volatile credit markets may lead to business disruptions for certain of our suppliers, contract manufacturers or trade customers which could, in turn, adversely impact our business, results of operations, cash flows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matters, including changes in tax rates, disagreements with taxing authorities and imposition of new taxes could negatively impact our business.</w:t>
      </w:r>
    </w:p>
    <w:p>
      <w:pPr>
        <w:spacing w:after="0" w:line="202" w:lineRule="exact"/>
        <w:rPr>
          <w:sz w:val="20"/>
          <w:szCs w:val="20"/>
          <w:color w:val="auto"/>
        </w:rPr>
      </w:pPr>
    </w:p>
    <w:p>
      <w:pPr>
        <w:ind w:right="180" w:firstLine="255"/>
        <w:spacing w:after="0" w:line="247" w:lineRule="auto"/>
        <w:rPr>
          <w:sz w:val="20"/>
          <w:szCs w:val="20"/>
          <w:color w:val="auto"/>
        </w:rPr>
      </w:pPr>
      <w:r>
        <w:rPr>
          <w:rFonts w:ascii="Times New Roman" w:cs="Times New Roman" w:eastAsia="Times New Roman" w:hAnsi="Times New Roman"/>
          <w:sz w:val="14"/>
          <w:szCs w:val="14"/>
          <w:color w:val="auto"/>
        </w:rPr>
        <w:t>We are subject to taxes in the U.S. and in the foreign jurisdictions where we do business. Due to economic and political conditions, tax rates in the U.S. and various foreign jurisdictions have been and may be subject to significant change. Changes in the mix of our earnings between countries with differing statutory tax rates, changes in the valuation of deferred tax assets and liabilities related to changes in tax rates, changes in tax laws, including how existing tax laws are interpreted or enforced, or contemplated changes in long-standing tax principles, if finalized and adopted, could adversely impact our future effective tax rate and business, results of operations, cash flows and financial condition. For example, long-standing international tax norms that determine each country’s jurisdiction to tax cross-border international trade are evolving as a result of a multilateral project, the Base Erosion and Profit Shifting Project (the “BEPS Project”), that has established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principles and reporting requirements recommended by the member countries of the Organization for Economic Cooperation and Development (the “OECD”). In connection with the BEPS</w:t>
      </w:r>
    </w:p>
    <w:p>
      <w:pPr>
        <w:spacing w:after="0" w:line="1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Project, companies are required to disclose more information to tax authorities on operations around the world, which may lead to greater audit scrutiny of profits earned in countries outside of the U.S. Many jurisdictions have already enacted legislation and adopted policies resulting from the BEPS Project. The OECD, is also addressing the challenges of the digitization of the global economy with plans to redefine jurisdictional taxation rights in market countries and establish a global minimum tax. In addition, we are evaluating the impact of recent legislation in the U.S., such as the Inflation Reduction Act of 2022 that, among other things, provides for a corporate alternative minimum tax, and in the European Union, such as the Minimum Tax Directive that provides for a minimum level of taxation for certain large corporations in every jurisdiction in which they operate. As these and other tax laws and related regulations change, our business, results of operations, cash flows and financial condition could be materially impacted. For more information regarding recent legislation, refer to Part II, Item 7</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 Results of Operations - Income Taxes."</w:t>
      </w:r>
    </w:p>
    <w:p>
      <w:pPr>
        <w:spacing w:after="0" w:line="18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4"/>
          <w:szCs w:val="14"/>
          <w:color w:val="auto"/>
        </w:rPr>
        <w:t>Furthermore, we are subject to regular reviews, examinations and audits by the Internal Revenue Service and other taxing authorities with respect to taxes inside and outside of the U.S. Although we believe our tax positions are reasonable, when a taxing authority disagrees with the positions we have taken, we have faced and in the future may face additional tax liabilities, including interest and penalties, in excess of reserves. The payment of such additional amounts upon final adjudication of any disputes could adversely impact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9" w:right="359" w:bottom="1440" w:gutter="0" w:footer="0" w:header="0"/>
        </w:sectPr>
      </w:pPr>
    </w:p>
    <w:bookmarkStart w:id="22" w:name="page23"/>
    <w:bookmarkEnd w:id="22"/>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87" w:right="1440" w:bottom="1440" w:gutter="0" w:footer="0" w:header="0"/>
        </w:sectPr>
      </w:pPr>
    </w:p>
    <w:bookmarkStart w:id="23" w:name="page24"/>
    <w:bookmarkEnd w:id="23"/>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PROPERTIES</w:t>
      </w:r>
    </w:p>
    <w:p>
      <w:pPr>
        <w:spacing w:after="0" w:line="202"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We own or lease approximately 320 properties, which include manufacturing, distribution, research and office facilities worldwide. Our corporate headquarters is located in a leased property at 300 Park Avenue, New York, New York.</w:t>
      </w:r>
    </w:p>
    <w:p>
      <w:pPr>
        <w:spacing w:after="0" w:line="145"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In the U.S., we operate in approximately 80 properties, of which 16 are owned. Major U.S. manufacturing and warehousing facilities used by the Oral, Personal and Home Care product segment of our business are located in Ohio, South Carolina and Tennessee. The Pet Nutrition segment has major manufacturing and warehousing facilities in Indiana, Kansas, Kentucky, Ohio, Oklahoma and South Carolina.</w:t>
      </w:r>
    </w:p>
    <w:p>
      <w:pPr>
        <w:spacing w:after="0" w:line="15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Overseas, we operate in approximately 240 properties, of which 58 are owned, in over 80 countries. Major overseas manufacturing and warehousing facilities used by the Oral, Personal and Home Care product segment of our business are located in Australia, Brazil, China, Colombia, France, Greece, Guatemala, India, Italy, Mexico, Poland, South Africa, Thailand, Turkiye, Venezuela and Vietnam. The Pet Nutrition segment has major manufacturing and warehousing facilities in the Czech Republic, Italy and the Netherlands.</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primary research center for Oral Care and Personal Care products is located in New Jersey, the primary research center for Home Care products is located in Mexico and the primary research center for Pet Nutrition products is located in Kansas. Our global data center is also located in New Jersey.</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shared business service centers in India, Mexico and Poland, which are located in leased properties.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of the facilities we operate are well maintained and adequate for the purpose for which they are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24" w:name="page25"/>
    <w:bookmarkEnd w:id="24"/>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regarding legal proceedings, refer to Note 13, Commitments and Contingencies to the Consolidated Financial Statements included in Part IV, Item 15 of this report.</w:t>
      </w:r>
    </w:p>
    <w:p>
      <w:pPr>
        <w:spacing w:after="0" w:line="19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300" w:top="887" w:right="115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tab/>
        <w:t>MARKET FOR REGISTRANT’S COMMON EQUITY, RELATED STOCKHOLDER MATTERS AND ISSUER PURCHASES OF EQUITY SECURITIES</w:t>
      </w:r>
    </w:p>
    <w:p>
      <w:pPr>
        <w:spacing w:after="0" w:line="20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For information regarding the market for the Company’s common stock, including stock price performance graphs, refer to “Market Information” included in Part IV, Item 15 of this report. For information regarding the securities authorized for issuance under our equity compensation plans, refer to “Security Ownership of Certain Beneficial Owners and Management and Related Stockholder Matters” included in Part III, Item 12 of this report.</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2022, the number of common shareholders of record was 17,468.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On March 10, 2022, the Board authorized the repurchase of shares of the Company’s common stock having an aggregate purchase price of up to $5 billion under a new share repurchase program (the “2022 Program”), which replaced a previously authorized share repurchase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shows the share repurchase activity for the three months in the quarter ended December 31,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38"/>
        </w:trPr>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10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900" w:type="dxa"/>
            <w:vAlign w:val="bottom"/>
            <w:gridSpan w:val="2"/>
            <w:vMerge w:val="continue"/>
          </w:tcPr>
          <w:p>
            <w:pPr>
              <w:spacing w:after="0"/>
              <w:rPr>
                <w:sz w:val="12"/>
                <w:szCs w:val="12"/>
                <w:color w:val="auto"/>
              </w:rPr>
            </w:pPr>
          </w:p>
        </w:tc>
        <w:tc>
          <w:tcPr>
            <w:tcW w:w="1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Programs</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80"/>
        </w:trPr>
        <w:tc>
          <w:tcPr>
            <w:tcW w:w="3000" w:type="dxa"/>
            <w:vAlign w:val="bottom"/>
            <w:gridSpan w:val="2"/>
            <w:vMerge w:val="continue"/>
          </w:tcPr>
          <w:p>
            <w:pPr>
              <w:spacing w:after="0"/>
              <w:rPr>
                <w:sz w:val="15"/>
                <w:szCs w:val="15"/>
                <w:color w:val="auto"/>
              </w:rPr>
            </w:pPr>
          </w:p>
        </w:tc>
        <w:tc>
          <w:tcPr>
            <w:tcW w:w="19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18"/>
                <w:szCs w:val="18"/>
                <w:b w:val="1"/>
                <w:bCs w:val="1"/>
                <w:color w:val="auto"/>
                <w:w w:val="96"/>
                <w:vertAlign w:val="superscript"/>
              </w:rPr>
              <w:t>(1)</w:t>
            </w:r>
          </w:p>
        </w:tc>
        <w:tc>
          <w:tcPr>
            <w:tcW w:w="1920" w:type="dxa"/>
            <w:vAlign w:val="bottom"/>
            <w:gridSpan w:val="3"/>
            <w:vMerge w:val="continue"/>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auto"/>
                <w:w w:val="96"/>
              </w:rPr>
              <w:t>Plans or Programs</w:t>
            </w:r>
            <w:r>
              <w:rPr>
                <w:rFonts w:ascii="Times New Roman" w:cs="Times New Roman" w:eastAsia="Times New Roman" w:hAnsi="Times New Roman"/>
                <w:sz w:val="18"/>
                <w:szCs w:val="18"/>
                <w:b w:val="1"/>
                <w:bCs w:val="1"/>
                <w:color w:val="auto"/>
                <w:w w:val="96"/>
                <w:vertAlign w:val="superscript"/>
              </w:rPr>
              <w:t>(2)</w:t>
            </w:r>
          </w:p>
        </w:tc>
        <w:tc>
          <w:tcPr>
            <w:tcW w:w="1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0" w:type="dxa"/>
            <w:vAlign w:val="bottom"/>
          </w:tcPr>
          <w:p>
            <w:pPr>
              <w:spacing w:after="0"/>
              <w:rPr>
                <w:sz w:val="1"/>
                <w:szCs w:val="1"/>
                <w:color w:val="auto"/>
              </w:rPr>
            </w:pPr>
          </w:p>
        </w:tc>
      </w:tr>
      <w:tr>
        <w:trPr>
          <w:trHeight w:val="171"/>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through 31, 2022</w:t>
            </w:r>
          </w:p>
        </w:tc>
        <w:tc>
          <w:tcPr>
            <w:tcW w:w="8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2,911,468</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71.56</w:t>
            </w:r>
          </w:p>
        </w:tc>
        <w:tc>
          <w:tcPr>
            <w:tcW w:w="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2,909,283</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0" w:type="dxa"/>
            <w:vAlign w:val="bottom"/>
          </w:tcPr>
          <w:p>
            <w:pPr>
              <w:spacing w:after="0"/>
              <w:rPr>
                <w:sz w:val="1"/>
                <w:szCs w:val="1"/>
                <w:color w:val="auto"/>
              </w:rPr>
            </w:pPr>
          </w:p>
        </w:tc>
      </w:tr>
      <w:tr>
        <w:trPr>
          <w:trHeight w:val="18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through 30,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1,430,528</w:t>
            </w:r>
          </w:p>
        </w:tc>
        <w:tc>
          <w:tcPr>
            <w:tcW w:w="10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74.88</w:t>
            </w:r>
          </w:p>
        </w:tc>
        <w:tc>
          <w:tcPr>
            <w:tcW w:w="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1,426,840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0" w:type="dxa"/>
            <w:vAlign w:val="bottom"/>
          </w:tcPr>
          <w:p>
            <w:pPr>
              <w:spacing w:after="0"/>
              <w:rPr>
                <w:sz w:val="1"/>
                <w:szCs w:val="1"/>
                <w:color w:val="auto"/>
              </w:rPr>
            </w:pPr>
          </w:p>
        </w:tc>
      </w:tr>
      <w:tr>
        <w:trPr>
          <w:trHeight w:val="18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through 31,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985,497</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w:t>
            </w:r>
          </w:p>
        </w:tc>
        <w:tc>
          <w:tcPr>
            <w:tcW w:w="80" w:type="dxa"/>
            <w:vAlign w:val="bottom"/>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5,327,493</w:t>
            </w:r>
          </w:p>
        </w:tc>
        <w:tc>
          <w:tcPr>
            <w:tcW w:w="10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80" w:type="dxa"/>
            <w:vAlign w:val="bottom"/>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5,313,623</w:t>
            </w: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w:t>
      </w:r>
    </w:p>
    <w:p>
      <w:pPr>
        <w:ind w:left="380" w:hanging="375"/>
        <w:spacing w:after="0"/>
        <w:tabs>
          <w:tab w:leader="none" w:pos="38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share repurchases under the 2022 Program and those associated with certain employee elections under the Company’s compensation and benefit programs.</w:t>
      </w:r>
    </w:p>
    <w:p>
      <w:pPr>
        <w:spacing w:after="0" w:line="34" w:lineRule="exact"/>
        <w:rPr>
          <w:rFonts w:ascii="Times New Roman" w:cs="Times New Roman" w:eastAsia="Times New Roman" w:hAnsi="Times New Roman"/>
          <w:sz w:val="17"/>
          <w:szCs w:val="17"/>
          <w:color w:val="auto"/>
          <w:vertAlign w:val="superscript"/>
        </w:rPr>
      </w:pPr>
    </w:p>
    <w:p>
      <w:pPr>
        <w:ind w:left="380" w:hanging="375"/>
        <w:spacing w:after="0" w:line="203" w:lineRule="auto"/>
        <w:tabs>
          <w:tab w:leader="none" w:pos="37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difference between the total number of shares purchased and the total number of shares purchased as part of publicly announced plans or programs is 13,870 shares, which represents shares deemed surrendered to the Company to satisfy certain employee elections under the Company’s compensation and benefit programs.</w:t>
      </w:r>
    </w:p>
    <w:p>
      <w:pPr>
        <w:ind w:left="380" w:hanging="375"/>
        <w:spacing w:after="0" w:line="221" w:lineRule="auto"/>
        <w:tabs>
          <w:tab w:leader="none" w:pos="38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approximate dollar value of shares that were available to be purchased under the publicly announced plans or programs that were in effect as of December 31, 2022.</w:t>
      </w:r>
    </w:p>
    <w:p>
      <w:pPr>
        <w:spacing w:after="0" w:line="200" w:lineRule="exact"/>
        <w:rPr>
          <w:sz w:val="20"/>
          <w:szCs w:val="20"/>
          <w:color w:val="auto"/>
        </w:rPr>
      </w:pP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Organization</w:t>
      </w:r>
    </w:p>
    <w:p>
      <w:pPr>
        <w:spacing w:after="0" w:line="181" w:lineRule="exact"/>
        <w:rPr>
          <w:sz w:val="20"/>
          <w:szCs w:val="20"/>
          <w:color w:val="auto"/>
        </w:rPr>
      </w:pPr>
    </w:p>
    <w:p>
      <w:pPr>
        <w:ind w:right="40" w:firstLine="255"/>
        <w:spacing w:after="0" w:line="248" w:lineRule="auto"/>
        <w:rPr>
          <w:sz w:val="20"/>
          <w:szCs w:val="20"/>
          <w:color w:val="auto"/>
        </w:rPr>
      </w:pPr>
      <w:r>
        <w:rPr>
          <w:rFonts w:ascii="Times New Roman" w:cs="Times New Roman" w:eastAsia="Times New Roman" w:hAnsi="Times New Roman"/>
          <w:sz w:val="14"/>
          <w:szCs w:val="14"/>
          <w:color w:val="auto"/>
        </w:rPr>
        <w:t>Colgate-Palmolive Company (together with its subsidiaries, “we,” “us,” “our,” the “Company” or “Colgate”) is a caring, innovative growth company reimagining a healthier future for all people, their pets and our planet. We seek to deliver sustainable, profitable growth and superior shareholder returns, as well as to provide Colgate people with an innovative and inclusive work environment. We do this by developing and selling products globally that make people’s and their pets’ lives healthier and more enjoyable and by embracing our sustainability and social impact and diversity, equity and inclusion (“DE&amp;I”) strategies across our organization.</w:t>
      </w:r>
    </w:p>
    <w:p>
      <w:pPr>
        <w:spacing w:after="0" w:line="173"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We are tightly focused on two product segments: Oral, Personal and Home Care; and Pet Nutrition. Within these segments, we follow a closely defined business strategy to grow our key product categories and increase our overall market share. Within the categories in which we compete, we prioritize our efforts based on their capacity to maximize the use of the organization’s core competencies and strong global equities and to deliver sustainable, profitable long-term growth.</w:t>
      </w:r>
    </w:p>
    <w:p>
      <w:pPr>
        <w:spacing w:after="0" w:line="15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Operationally, we are organized along geographic lines with management teams having responsibility for the business and financial results in each region. We compete in more than 200 countries and territories worldwide with established businesses in all regions contributing to our sales and profitability. Approximately two-thirds of our Net sales are generated from markets outside the U.S., with approximately 45% of our Net sales coming from emerging markets (which consist of Latin America, Asia (excluding Japan), Africa/Eurasia and Central Europe). This geographic diversity and balance help to reduce our exposure to business and other risks in any one country or part of the world.</w:t>
      </w:r>
    </w:p>
    <w:p>
      <w:pPr>
        <w:spacing w:after="0" w:line="151"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4"/>
          <w:szCs w:val="14"/>
          <w:color w:val="auto"/>
        </w:rPr>
        <w:t>The Oral, Personal and Home Care product segment is managed geographically in five reportable operating segments: North America, Latin America, Europe, Asia Pacific and Africa/Eurasia, all of which sell primarily to a variety of traditional and eCommerce retailers, wholesalers, distributors, dentists and skin health professionals. Through Hill’s Pet Nutrition, we also compete on a worldwide basis in the pet nutrition market, selling products principally through authorized pet supply retailers, veterinarians and eCommerce retailers. We also sell certain of our products direct-to-consumer. We are engaged in manufacturing and sourcing of products and materials on a global scale and have major manufacturing facilities, warehousing facilities and distribution centers in every region around the world.</w:t>
      </w:r>
    </w:p>
    <w:p>
      <w:pPr>
        <w:spacing w:after="0" w:line="176"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On an ongoing basis, management focuses on a variety of key indicators to monitor business health and performance. These indicators include net sales (including volume, pricing and foreign exchange components), organic sales growth (net sales growth excluding the impact of foreign exchange, acquisitions and divestments), a non-GAAP financial measure, and gross profit margin, operating profit, net income and earnings per share, in each case, on a GAAP and non-GAAP basis, as well as measures used to optimize the management of working capital, capital expenditures, cash flow and return on capital. In addition, we review market share and other data to assess how our brands are performing within their categories on a global and regional basis. The monitoring of these indicators and our Code of Conduct and corporate governance practices help to maintain business health and strong internal controls. For additional information regarding non-GAAP financial measures and the Company’s use of market share data and the limitations of such data, see “Non-GAAP Financial Measures” and “Market Share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w:t>
      </w:r>
    </w:p>
    <w:p>
      <w:pPr>
        <w:spacing w:after="0" w:line="191" w:lineRule="exact"/>
        <w:rPr>
          <w:sz w:val="20"/>
          <w:szCs w:val="20"/>
          <w:color w:val="auto"/>
        </w:rPr>
      </w:pPr>
    </w:p>
    <w:p>
      <w:pPr>
        <w:ind w:firstLine="255"/>
        <w:spacing w:after="0" w:line="242" w:lineRule="auto"/>
        <w:rPr>
          <w:sz w:val="20"/>
          <w:szCs w:val="20"/>
          <w:color w:val="auto"/>
        </w:rPr>
      </w:pPr>
      <w:r>
        <w:rPr>
          <w:rFonts w:ascii="Times New Roman" w:cs="Times New Roman" w:eastAsia="Times New Roman" w:hAnsi="Times New Roman"/>
          <w:sz w:val="14"/>
          <w:szCs w:val="14"/>
          <w:color w:val="auto"/>
        </w:rPr>
        <w:t>The COVID-19 pandemic and government steps to reduce the spread and address the impact of COVID-19 have had and continue to have an impact on the way people live, work, interact and shop. During the COVID-19 pandemic, many of the communities in which we manufacture, market and sell our products experienced and may in the future experience “stay at home” orders, travel or movement restrictions and other government actions to address the pandemic. While the impact of COVID-19 on our business has largely abated at this time, uncertainties continue, particularly in China where we have substantial manufacturing facilities and business, and in the travel retail channel, where we have experienced and may continue to experience disruptions particularly in our Filorga business. We have also experienced certain disruptions to our global supply chain due to COVID-19, which have impacted and may continue to impact sales of and consumer access to our products. In addition, we have witnessed changes in the purchasing patterns of our customers, including a shift in many markets to purchasing our products online. COVID-19 may continue to impact consumers’ behavior, shopping patterns and consumption preferences.</w:t>
      </w:r>
    </w:p>
    <w:p>
      <w:pPr>
        <w:spacing w:after="0" w:line="169"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While we currently expect to be able to continue operating our business as described above, uncertainty resulting from COVID-19 could result in unforeseen additional disruptions to our business, including our global supply chain and retailer network, and/or require us to incur additional operational costs.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about the anticipated COVID-19 impact, see “Outlook”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War in Ukraine</w:t>
      </w:r>
    </w:p>
    <w:p>
      <w:pPr>
        <w:spacing w:after="0" w:line="191" w:lineRule="exact"/>
        <w:rPr>
          <w:sz w:val="20"/>
          <w:szCs w:val="20"/>
          <w:color w:val="auto"/>
        </w:rPr>
      </w:pPr>
    </w:p>
    <w:p>
      <w:pPr>
        <w:ind w:right="100" w:firstLine="255"/>
        <w:spacing w:after="0" w:line="241" w:lineRule="auto"/>
        <w:rPr>
          <w:sz w:val="20"/>
          <w:szCs w:val="20"/>
          <w:color w:val="auto"/>
        </w:rPr>
      </w:pPr>
      <w:r>
        <w:rPr>
          <w:rFonts w:ascii="Times New Roman" w:cs="Times New Roman" w:eastAsia="Times New Roman" w:hAnsi="Times New Roman"/>
          <w:sz w:val="14"/>
          <w:szCs w:val="14"/>
          <w:color w:val="auto"/>
        </w:rPr>
        <w:t>The war in Ukraine, and the related geopolitical tensions, have had and continue to have a significant impact on our operations in Ukraine and Russia, though it has not been material to our Consolidated Financial Statements. The safety of our employees and partners in Ukraine has been and remains our first priority. While our ability to do business in Ukraine has been significantly impacted, we remain committed to rebuilding our business there and to providing access to essential products to people in the region. We have suspended the importation and sales of all products in Russia other than essential health and hygiene products for everyday use and ceased all capital investments and media activities in Russia. While these actions have impacted our Eurasia business, they have not had a material impact on our consolidated results of operations, cash flow or financial condition. In 2022, our Eurasia business constituted approximately 2% of our consolidated net sales and approximately 3% of our consolidated operating profit (the majority of which was Russia). We also continue to monitor the impact of sanctions and export controls imposed in response to the war in Ukraine. The situation is rapidly evolving and significant uncertainties remain regarding the full impact of the war and the related impact on the global economy and geopolitical relations generally, and on our business in particular. We have seen and expect to continue to see the war’s impact on the global economy and our business including, among other things, the cost of raw and packaging materials and commodities (including the price of oil and natural gas), supply chain and logistics challenges and foreign currency volatility. For more information about factors that could impact our business, including due to the war in Ukraine, refer to Part I, Item 1A “Risk Factors”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Strategy</w:t>
      </w:r>
    </w:p>
    <w:p>
      <w:pPr>
        <w:spacing w:after="0" w:line="191" w:lineRule="exact"/>
        <w:rPr>
          <w:sz w:val="20"/>
          <w:szCs w:val="20"/>
          <w:color w:val="auto"/>
        </w:rPr>
      </w:pPr>
    </w:p>
    <w:p>
      <w:pPr>
        <w:ind w:right="20" w:firstLine="255"/>
        <w:spacing w:after="0" w:line="239" w:lineRule="auto"/>
        <w:rPr>
          <w:sz w:val="20"/>
          <w:szCs w:val="20"/>
          <w:color w:val="auto"/>
        </w:rPr>
      </w:pPr>
      <w:r>
        <w:rPr>
          <w:rFonts w:ascii="Times New Roman" w:cs="Times New Roman" w:eastAsia="Times New Roman" w:hAnsi="Times New Roman"/>
          <w:sz w:val="14"/>
          <w:szCs w:val="14"/>
          <w:color w:val="auto"/>
        </w:rPr>
        <w:t>To achieve our business and financial objectives, we are focused on driving organic sales growth and long-term profitable growth through science-led, core and premium innovation; pursuing higher-growth adjacent categories and segments; expanding in faster-growing channels and markets and delivering margin expansion through operating leverage and efficiency. We continue to prioritize our investments in high growth segments within our Oral Care, Personal Care and Pet Nutrition businesses. We are also seeking to maximize the impact of our environmental, social and governance programs and leading in the development of human capital, including our sustainability and social impact and DE&amp;I strategies, which we are working to integrate across our organization. We are strengthening and leveraging our capabilities in areas such as innovation, digital, eCommerce and data and analytics, enabling us to be more responsive in today’s rapidly changing world. In particular, we believe our digital transformation is of paramount importance to our success going forward. We continue to invest behind our brands, including through advertising, and to develop initiatives to build strong relationships with consumers, dental, veterinary and skin health professionals and traditional and eCommerce retailers. We also continue to broaden our eCommerce offerings, including direct-to-consumer and subscription services. We continue to believe that growth opportunities are greater in those areas of the world in which economic development and rising consumer incomes expand the size and number of markets for our products.</w:t>
      </w:r>
    </w:p>
    <w:p>
      <w:pPr>
        <w:spacing w:after="0" w:line="180"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We are also changing the way we work to drive growth and how we approach innovation with focus, empowerment, experimentation and digitization to respond to the dynamic retail landscape and the evolving preferences of our customers and consumers. The retail landscape, the ease of new entrants into the market in many of our categories and the evolving preferences of our customers and consumers demand that we work differently and faster in an agile, authentic and culturally relevant manner to drive innovation.</w:t>
      </w:r>
    </w:p>
    <w:p>
      <w:pPr>
        <w:spacing w:after="0" w:line="157"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investments needed to drive growth are supported through continuous, Company-wide initiatives to lower costs and increase effective asset utilization. Through these initiatives, which are referred to as our funding-the-growth initiatives, we seek to become even more effective and efficient throughout our businesses. These initiatives are designed to reduce costs associated with direct materials, indirect expenses, distribution and logistics and advertising and promotional materials, among other things, and encompass a wide range of projects, examples of which include raw material substitution, reduction of packaging materials, consolidating suppliers to leverage volumes and increasing manufacturing efficiency through SKU reductions and formulation simplification.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Items Impacting Comparability</w:t>
      </w:r>
    </w:p>
    <w:p>
      <w:pPr>
        <w:spacing w:after="0" w:line="191" w:lineRule="exact"/>
        <w:rPr>
          <w:sz w:val="20"/>
          <w:szCs w:val="20"/>
          <w:color w:val="auto"/>
        </w:rPr>
      </w:pPr>
    </w:p>
    <w:p>
      <w:pPr>
        <w:ind w:firstLine="255"/>
        <w:spacing w:after="0" w:line="248" w:lineRule="auto"/>
        <w:rPr>
          <w:sz w:val="20"/>
          <w:szCs w:val="20"/>
          <w:color w:val="auto"/>
        </w:rPr>
      </w:pPr>
      <w:r>
        <w:rPr>
          <w:rFonts w:ascii="Times New Roman" w:cs="Times New Roman" w:eastAsia="Times New Roman" w:hAnsi="Times New Roman"/>
          <w:sz w:val="14"/>
          <w:szCs w:val="14"/>
          <w:color w:val="auto"/>
        </w:rPr>
        <w:t>During the fourth quarter of 2022, we recorded a non-cash charge of $721 pretax ($620 aftertax) to adjust the carrying values of goodwill and intangible assets related to the Filorga skin health business. The impairment was due primarily to the continued impact of the COVID-19 pandemic on the Filorga business, particularly in China, as a result of government restrictions and reduced consumer mobility, which negatively impacted consumption in the duty-free, travel retail and pharmacy channels, and the impact of significantly higher interest rates. See Note 5, Goodwill and Other Intangible Assets to the Consolidated Financial Statements for further information.</w:t>
      </w:r>
    </w:p>
    <w:p>
      <w:pPr>
        <w:spacing w:after="0" w:line="16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On September 30, 2022, the Company acquired a business for a purchase price, as adjusted, of $719, which operates three dry pet food manufacturing plants in the United States, from Red Collar Pet Foods Holdings, Inc. and Red Collar Pet Foods Holdings, L.P. (collectively, “Red Collar Pet Foods”) to further support the global growth of the Hill’s Pet Nutrition business. See Note 3, Acquisitions to the Consolidated Financial Statements for additional information.</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July 2022, one of the Company’s subsidiaries in Asia Pacific completed the sale of land and recognized a pretax gain of $47 ($15 aftertax attributable to the Company).</w:t>
      </w:r>
    </w:p>
    <w:p>
      <w:pPr>
        <w:spacing w:after="0" w:line="18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On January 27, 2022, the Company’s Board of Directors (the “Board”) approved a targeted productivity program (the “2022 Global Productivity Initiative”). The program is intended to reallocate resources towards our strategic priorities and faster growth businesses, drive efficiencies in our operations and streamline our supply chain to reduce structural costs. Implementation of the 2022 Global Productivity Initiative, which is expected to be substantially completed by mid-year 2024, is estimated to result in cumulative pretax charges, once all phases are approved and implemented, in the range of $200 to $240 ($170 to $200 aftertax). Annualized pretax savings are projected to be in the range of $90 to $110 ($70 to $85 aftertax), once all projects are approved and implemented. For more information regarding the 2022 Global Productivity Initiative, see “Restructuring and Related Implementation Charges” below.</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year ended December 31, 2022, we incurred pretax costs of $110 (aftertax costs of $87) resulting from the 2022 Global Productivity Initiative.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the fourth quarter of 2021, we recorded a non-cash charge of $571 pretax ($518 aftertax) to adjust the carrying values of goodwill and indefinite-lived intangible assets related to the Filorga skin health business. The impairment was due primarily to the impact of the COVID-19 pandemic on the Filorga business as a result of government restrictions and reduced consumer mobility, which negatively impacted consumption in the duty-free, travel retail and pharmacy channels. See Note 5, Goodwill and Other Intangible Assets to the Consolidated Financial Statements for further information.</w:t>
      </w:r>
    </w:p>
    <w:p>
      <w:pPr>
        <w:spacing w:after="0" w:line="16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In 1990, our Canadian subsidiary (“CP Canada”), issued C$145 of Canadian dollar-denominated unsecured unsubordinated 12.85% guaranteed notes due October 4, 2030 (the “Canada notes”). In the third quarter of 2021, CP Canada redeemed the Canada notes and recorded a loss on the early extinguishment of debt of $75 pretax ($55 aftertax), which is included in Interest (income) expense, net in the Consolidated Statements of Income, representing the difference between the redemption price and the carrying amount of the debt extinguished.</w:t>
      </w:r>
    </w:p>
    <w:p>
      <w:pPr>
        <w:spacing w:after="0" w:line="15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In 2019, we received a favorable judgment regarding certain value-added tax previously paid in Brazil. As a result of this favorable judgment, the Company filed an application with the Brazilian government to recover value-added tax previously paid and recorded a benefit. In May 2021, the Brazilian Supreme Court issued a clarifying ruling allowing a higher deduction of state value-added tax when determining the taxable base. In light of this ruling, we recorded an additional benefit of $26 pretax ($20 aftertax) in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Outlook</w:t>
      </w:r>
    </w:p>
    <w:p>
      <w:pPr>
        <w:spacing w:after="0" w:line="181" w:lineRule="exact"/>
        <w:rPr>
          <w:sz w:val="20"/>
          <w:szCs w:val="20"/>
          <w:color w:val="auto"/>
        </w:rPr>
      </w:pPr>
    </w:p>
    <w:p>
      <w:pPr>
        <w:ind w:firstLine="255"/>
        <w:spacing w:after="0" w:line="241" w:lineRule="auto"/>
        <w:rPr>
          <w:sz w:val="20"/>
          <w:szCs w:val="20"/>
          <w:color w:val="auto"/>
        </w:rPr>
      </w:pPr>
      <w:r>
        <w:rPr>
          <w:rFonts w:ascii="Times New Roman" w:cs="Times New Roman" w:eastAsia="Times New Roman" w:hAnsi="Times New Roman"/>
          <w:sz w:val="14"/>
          <w:szCs w:val="14"/>
          <w:color w:val="auto"/>
        </w:rPr>
        <w:t>Looking forward, we expect global macroeconomic, political and market conditions to remain challenging, including as a result of inflation and rising interest rates. During the year ended December 31, 2022, all of our divisions experienced significantly higher raw and packaging material costs. We also incurred increased logistics costs due to volume and capacity constraints in the shipping and logistics industry, higher eCommerce demand and the war in Ukraine. We expect this difficult cost environment to continue in 2023. We are taking additional pricing to try to offset these increases in raw and packaging materials and logistics costs. This may, in turn, negatively impact consumer demand for our products. Additionally, inflation is impacting the broader economy with consumers around the world facing widespread rising prices as well as rising interest rates resulting from measures to address inflation. Such inflation and rising interest rates may negatively impact consumer consumption or discretionary spending and/or change their purchasing patterns by foregoing purchasing certain of our products or by switching to “private label” or lower-priced product offerings. Although we continue to devote significant resources to support our brands and market our products at multiple price points, these changes could reduce demand for and sales volumes of our products or result in a shift in our product mix from higher margin to lower margin product offerings. In light of this challenging environment, we expect increased volatility across all of our categories and it is therefore difficult to predict category growth rates in the near term.</w:t>
      </w:r>
    </w:p>
    <w:p>
      <w:pPr>
        <w:spacing w:after="0" w:line="179"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Given that approximately two-thirds of our Net sales originate in markets outside the U.S., we have experienced and will likely continue to experience volatile foreign currency fluctuations. As discussed above, we have also experienced higher raw and packaging material and logistics costs. While we have taken, and will continue to take, measures to mitigate the effect of these conditions, such as the 2022 Global Productivity Initiative and our funding-the-growth and revenue growth management initiatives, including additional pricing, in the current environment, it may become increasingly difficult to implement certain of these mitigation strategies. Should these conditions persist, they could adversely affect our future results.</w:t>
      </w:r>
    </w:p>
    <w:p>
      <w:pPr>
        <w:spacing w:after="0" w:line="162" w:lineRule="exact"/>
        <w:rPr>
          <w:sz w:val="20"/>
          <w:szCs w:val="20"/>
          <w:color w:val="auto"/>
        </w:rPr>
      </w:pPr>
    </w:p>
    <w:p>
      <w:pPr>
        <w:ind w:right="420" w:firstLine="255"/>
        <w:spacing w:after="0" w:line="254" w:lineRule="auto"/>
        <w:rPr>
          <w:sz w:val="20"/>
          <w:szCs w:val="20"/>
          <w:color w:val="auto"/>
        </w:rPr>
      </w:pPr>
      <w:r>
        <w:rPr>
          <w:rFonts w:ascii="Times New Roman" w:cs="Times New Roman" w:eastAsia="Times New Roman" w:hAnsi="Times New Roman"/>
          <w:sz w:val="14"/>
          <w:szCs w:val="14"/>
          <w:color w:val="auto"/>
        </w:rPr>
        <w:t>While the global marketplace in which we operate has always been highly competitive, we continue to experience heightened competitive activity in certain markets from strong local competitors, from other large multinational companies, some of which have greater resources than we do, and from new entrants into the market in many of our categories. Such activities have included more aggressive product claims and marketing challenges, as well as increased promotional spending and geographic expansion.</w:t>
      </w:r>
    </w:p>
    <w:p>
      <w:pPr>
        <w:spacing w:after="0" w:line="157" w:lineRule="exact"/>
        <w:rPr>
          <w:sz w:val="20"/>
          <w:szCs w:val="20"/>
          <w:color w:val="auto"/>
        </w:rPr>
      </w:pPr>
    </w:p>
    <w:p>
      <w:pPr>
        <w:ind w:firstLine="255"/>
        <w:spacing w:after="0" w:line="241" w:lineRule="auto"/>
        <w:rPr>
          <w:sz w:val="20"/>
          <w:szCs w:val="20"/>
          <w:color w:val="auto"/>
        </w:rPr>
      </w:pPr>
      <w:r>
        <w:rPr>
          <w:rFonts w:ascii="Times New Roman" w:cs="Times New Roman" w:eastAsia="Times New Roman" w:hAnsi="Times New Roman"/>
          <w:sz w:val="14"/>
          <w:szCs w:val="14"/>
          <w:color w:val="auto"/>
        </w:rPr>
        <w:t>We have been negatively affected by changes in the policies and practices of our trade customers in key markets, such as inventory destocking, fulfillment requirements, limitations on access to shelf space, delisting of our products and certain sustainability, supply chain and packaging standards or initiatives. In addition, the retail landscape in many of our markets continues to evolve as a result of the continued growth of eCommerce, changing consumer preferences (as consumers increasingly shop online and via mobile and social applications) and the increased presence of alternative retail channels, such as subscription services and direct-to-consumer businesses. We plan to continue to invest behind our digital and analytics capabilities and higher growth businesses. The substantial growth in eCommerce and the emergence of alternative retail channels have created and may continue to create pricing pressures and/or adversely affect our relationships with our key retailers.</w:t>
      </w:r>
    </w:p>
    <w:p>
      <w:pPr>
        <w:spacing w:after="0" w:line="32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4"/>
          <w:szCs w:val="14"/>
          <w:color w:val="auto"/>
        </w:rPr>
        <w:t>We continue to closely monitor the impact of the war in Ukraine, COVID-19 and the challenging market conditions discussed above on our business and the related uncertainties and risks. While we have taken, and will continue to take, measures to mitigate the effects of these conditions, we cannot estimate with certainty the full extent of their impact on our business, results of operations, cash flows and/or financial condition. For more information about factors that could impact our business, see “Risk Factors” in Part I, Item 1A of this Annual Report on Form 10-K.</w:t>
      </w:r>
    </w:p>
    <w:p>
      <w:pPr>
        <w:spacing w:after="0" w:line="157" w:lineRule="exact"/>
        <w:rPr>
          <w:sz w:val="20"/>
          <w:szCs w:val="20"/>
          <w:color w:val="auto"/>
        </w:rPr>
      </w:pPr>
    </w:p>
    <w:p>
      <w:pPr>
        <w:ind w:right="120" w:firstLine="255"/>
        <w:spacing w:after="0" w:line="244" w:lineRule="auto"/>
        <w:rPr>
          <w:sz w:val="20"/>
          <w:szCs w:val="20"/>
          <w:color w:val="auto"/>
        </w:rPr>
      </w:pPr>
      <w:r>
        <w:rPr>
          <w:rFonts w:ascii="Times New Roman" w:cs="Times New Roman" w:eastAsia="Times New Roman" w:hAnsi="Times New Roman"/>
          <w:sz w:val="14"/>
          <w:szCs w:val="14"/>
          <w:color w:val="auto"/>
        </w:rPr>
        <w:t>We believe that we are well prepared to meet the challenges ahead due to our strong financial condition, experience operating in challenging environments, resilient global supply chain, dedicated and diverse global team and focused business strategy. Our strategy is based on driving organic sales growth and long-term profitable growth through science-led, core and premium innovation; pursuing higher-growth adjacent categories and segments, expanding in faster growing channels and markets and delivering margin expansion through operating leverage and efficiency. We are also seeking to maximize the impact of our environmental, social and governance programs and leading in the development of human capital, including our sustainability and social impact and DE&amp;I strategies. Our commitment to these priorities, the strength of our brands, the breadth of our global footprint and a commitment to profitability and driving efficiency in cash generation should position us well to manage through the challenges we face and increase shareholder value over time.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This section of this Annual Report on Form 10-K generally discusses 2022 and 2021 items and year-to-year comparisons between 2022 and 2021. Discussions of 2020 items and year-to-year comparisons between 2021 and 2020 that are not included in this Annual Report on Form 10-K can be found in “Management’s Discussion and Analysis of Financial Condition and Results of Operations” in Part II, Item 7 of the Company’s Annual Report on Form 10-K for the fiscal year ended December 31, 2021.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Net Sales</w:t>
      </w:r>
    </w:p>
    <w:p>
      <w:pPr>
        <w:spacing w:after="0" w:line="200"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Worldwide Net sales were $17,967 in 2022, up 3.0% from 2021, due to net selling price increases of 9.5%, partially offset by volume declines of 2.0% and negative foreign exchange of 4.5%. Acquisitions contributed 0.5% to volume. Organic sales (Net sales excluding, as applicable, the impact of foreign exchange, acquisitions and divestments), a non-GAAP financial measure as discussed below, increased 7.0% in 2022.</w:t>
      </w:r>
    </w:p>
    <w:p>
      <w:pPr>
        <w:spacing w:after="0" w:line="15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Net sales in the Oral, Personal and Home Care product segment were $14,254 in 2022, up 1.0% from 2021, due to net selling price increases of 9.0%, partially offset by volume declines of 3.5%, and negative foreign exchange of 4.5%. Organic sales in the Oral, Personal and Home Care product segment increased 5.5% in 2022.</w:t>
      </w:r>
    </w:p>
    <w:p>
      <w:pPr>
        <w:spacing w:after="0" w:line="145"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increase in organic sales in 2022 versus 2021 was due to increases in Oral Care, Personal Care and Home Care organic sales. The increase in Oral Care was primarily due to organic sales growth in the toothpaste and manual toothbrush categories. The increase in Personal Care was primarily due to organic sales growth in the bar soap and underarm protection categories, partially offset by organic sales declines in the skin care category. The increase in Home Care was primarily due to organic sales growth in the fabric softener and surface cleaner categories.</w:t>
      </w:r>
    </w:p>
    <w:p>
      <w:pPr>
        <w:spacing w:after="0" w:line="157"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Company’s share of the global toothpaste market was 39.8% for full year 2022, up 0.5 share points from full year 2021, and its share of the global manual toothbrush market was 31.7% for full year 2022, up 0.7 share points from full year 2021. Full year 2022 market shares in toothpaste were up in Europe and were flat in North America, Latin America, Asia Pacific and Africa/Eurasia versus full year 2021. In the manual toothbrush category, full year 2022 market shares were up in North America, down in Latin America and were flat in Europe, Asia Pacific and Africa/Eurasia versus full year 2021. For additional information regarding the Company’s use of market share data and limitations of such data, see “Market Share Information” below.</w:t>
      </w:r>
    </w:p>
    <w:p>
      <w:pPr>
        <w:spacing w:after="0" w:line="162"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Net sales for Hill’s Pet Nutrition were $3,713 in 2022, an increase of 12.0% from 2021, driven by volume growth of 4.0% and net selling price increases of 11.5%, partially offset by negative foreign exchange of 3.5%. Acquisitions contributed 2.5% to volume. Organic sales for Hill’s Pet Nutrition increased 13.0% in 2022.</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increase in organic sales in 2022 versus 2021 was due to increases in organic sales in the Science Diet and Prescription Diet categories.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Gross Profit/Margin</w:t>
      </w:r>
    </w:p>
    <w:p>
      <w:pPr>
        <w:spacing w:after="0" w:line="200"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Worldwide Gross profit decreased 1% to $10,248 in 2022 from $10,375 in 2021, reflecting a decrease of $452 resulting from lower Gross profit margin and an increase of $325 resulting from higher Net sales.</w:t>
      </w:r>
    </w:p>
    <w:p>
      <w:pPr>
        <w:spacing w:after="0" w:line="145" w:lineRule="exact"/>
        <w:rPr>
          <w:sz w:val="20"/>
          <w:szCs w:val="20"/>
          <w:color w:val="auto"/>
        </w:rPr>
      </w:pPr>
    </w:p>
    <w:p>
      <w:pPr>
        <w:ind w:right="280" w:firstLine="255"/>
        <w:spacing w:after="0" w:line="276" w:lineRule="auto"/>
        <w:rPr>
          <w:sz w:val="20"/>
          <w:szCs w:val="20"/>
          <w:color w:val="auto"/>
        </w:rPr>
      </w:pPr>
      <w:r>
        <w:rPr>
          <w:rFonts w:ascii="Times New Roman" w:cs="Times New Roman" w:eastAsia="Times New Roman" w:hAnsi="Times New Roman"/>
          <w:sz w:val="14"/>
          <w:szCs w:val="14"/>
          <w:color w:val="auto"/>
        </w:rPr>
        <w:t>Worldwide Gross profit margin decreased to 57.0% in 2022 from 59.6% in 2021. This decrease in Gross profit margin was primarily due to higher raw and packaging material costs (810 bps), partially offset by higher pricing (360 bps) and cost savings from the Company’s funding-the-growth initiatives (220 bps).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80" w:type="dxa"/>
            <w:vAlign w:val="bottom"/>
            <w:tcBorders>
              <w:bottom w:val="single" w:sz="8" w:color="CCEEFF"/>
            </w:tcBorders>
            <w:gridSpan w:val="2"/>
            <w:shd w:val="clear" w:color="auto" w:fill="CCEEFF"/>
          </w:tcPr>
          <w:p>
            <w:pPr>
              <w:jc w:val="right"/>
              <w:ind w:right="6909"/>
              <w:spacing w:after="0"/>
              <w:rPr>
                <w:sz w:val="20"/>
                <w:szCs w:val="20"/>
                <w:color w:val="auto"/>
              </w:rPr>
            </w:pPr>
            <w:r>
              <w:rPr>
                <w:rFonts w:ascii="Times New Roman" w:cs="Times New Roman" w:eastAsia="Times New Roman" w:hAnsi="Times New Roman"/>
                <w:sz w:val="14"/>
                <w:szCs w:val="14"/>
                <w:color w:val="auto"/>
              </w:rPr>
              <w:t>Gross profit</w:t>
            </w: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10,375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0" w:type="dxa"/>
            <w:vAlign w:val="bottom"/>
          </w:tcPr>
          <w:p>
            <w:pPr>
              <w:spacing w:after="0"/>
              <w:rPr>
                <w:sz w:val="20"/>
                <w:szCs w:val="20"/>
                <w:color w:val="auto"/>
              </w:rPr>
            </w:pPr>
          </w:p>
        </w:tc>
        <w:tc>
          <w:tcPr>
            <w:tcW w:w="7000" w:type="dxa"/>
            <w:vAlign w:val="bottom"/>
            <w:tcBorders>
              <w:bottom w:val="single" w:sz="8" w:color="CCEEFF"/>
            </w:tcBorders>
            <w:gridSpan w:val="2"/>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Basis Point Change</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7000" w:type="dxa"/>
            <w:vAlign w:val="bottom"/>
            <w:tcBorders>
              <w:bottom w:val="single" w:sz="8" w:color="CCEEFF"/>
            </w:tcBorders>
            <w:gridSpan w:val="2"/>
            <w:shd w:val="clear" w:color="auto" w:fill="CCEEFF"/>
          </w:tcPr>
          <w:p>
            <w:pPr>
              <w:jc w:val="right"/>
              <w:ind w:right="5809"/>
              <w:spacing w:after="0"/>
              <w:rPr>
                <w:sz w:val="20"/>
                <w:szCs w:val="20"/>
                <w:color w:val="auto"/>
              </w:rPr>
            </w:pPr>
            <w:r>
              <w:rPr>
                <w:rFonts w:ascii="Times New Roman" w:cs="Times New Roman" w:eastAsia="Times New Roman" w:hAnsi="Times New Roman"/>
                <w:sz w:val="14"/>
                <w:szCs w:val="14"/>
                <w:color w:val="auto"/>
                <w:w w:val="99"/>
              </w:rPr>
              <w:t>Gross profit margin</w:t>
            </w:r>
          </w:p>
        </w:tc>
        <w:tc>
          <w:tcPr>
            <w:tcW w:w="8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59.6 %</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jc w:val="right"/>
              <w:ind w:right="1289"/>
              <w:spacing w:after="0"/>
              <w:rPr>
                <w:sz w:val="20"/>
                <w:szCs w:val="20"/>
                <w:color w:val="auto"/>
              </w:rPr>
            </w:pPr>
            <w:r>
              <w:rPr>
                <w:rFonts w:ascii="Times New Roman" w:cs="Times New Roman" w:eastAsia="Times New Roman" w:hAnsi="Times New Roman"/>
                <w:sz w:val="14"/>
                <w:szCs w:val="14"/>
                <w:color w:val="auto"/>
              </w:rPr>
              <w:t>31</w:t>
            </w: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708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Selling, General and Administrative Expenses</w:t>
      </w:r>
    </w:p>
    <w:p>
      <w:pPr>
        <w:spacing w:after="0" w:line="20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expenses increased 2% to $6,565 in 2022 from $6,407 in 2021. Selling, general and administrative expenses in 2022 included charges resulting from the 2022 Global Productivity Initiative. Excluding charges resulting from the 2022 Global Productivity Initiative, Selling, general and administrative expenses increased to $6,560 in 2022 from $6,407 in 2021, reflecting higher overhead expenses of $177 and decreased advertising investment of $24.</w:t>
      </w:r>
    </w:p>
    <w:p>
      <w:pPr>
        <w:spacing w:after="0" w:line="157"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as a percentage of Net sales decreased to 36.5% in 2022 from 36.8% in 2021. This decrease was due to decreased advertising investment (50 bps), partially offset by higher overhead expenses (20 bps), both as a percentage of Net sales. Higher overhead expenses were driven by higher logistics costs (70 bps), partially offset by overhead efficiencies (50 bps). In 2022, advertising investment decreased as a percentage of Net sales to 11.1% from 11.6% in 2021 and decreased by 1.2% in absolute terms to $1,997 as compared with $2,021 in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Borders>
              <w:bottom w:val="single" w:sz="8" w:color="auto"/>
            </w:tcBorders>
          </w:tcPr>
          <w:p>
            <w:pPr>
              <w:spacing w:after="0"/>
              <w:rPr>
                <w:sz w:val="16"/>
                <w:szCs w:val="16"/>
                <w:color w:val="auto"/>
              </w:rPr>
            </w:pPr>
          </w:p>
        </w:tc>
      </w:tr>
      <w:tr>
        <w:trPr>
          <w:trHeight w:val="17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 GAAP</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20" w:type="dxa"/>
            <w:vAlign w:val="bottom"/>
            <w:shd w:val="clear" w:color="auto" w:fill="CCEEFF"/>
          </w:tcPr>
          <w:p>
            <w:pPr>
              <w:spacing w:after="0"/>
              <w:rPr>
                <w:sz w:val="14"/>
                <w:szCs w:val="14"/>
                <w:color w:val="auto"/>
              </w:rPr>
            </w:pPr>
          </w:p>
        </w:tc>
      </w:tr>
      <w:tr>
        <w:trPr>
          <w:trHeight w:val="180"/>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2022 Global Productivity Initiative</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 non-GAAP</w:t>
            </w: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6,560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29"/>
        </w:trPr>
        <w:tc>
          <w:tcPr>
            <w:tcW w:w="7880" w:type="dxa"/>
            <w:vAlign w:val="bottom"/>
            <w:gridSpan w:val="2"/>
          </w:tcPr>
          <w:p>
            <w:pPr>
              <w:ind w:left="7540"/>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Basis Point Change</w:t>
            </w:r>
          </w:p>
        </w:tc>
      </w:tr>
      <w:tr>
        <w:trPr>
          <w:trHeight w:val="171"/>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 as a percentage of Net sales</w:t>
            </w:r>
          </w:p>
        </w:tc>
        <w:tc>
          <w:tcPr>
            <w:tcW w:w="8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36.5 %</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(Income) Expense, Net</w:t>
      </w:r>
    </w:p>
    <w:p>
      <w:pPr>
        <w:spacing w:after="0" w:line="200" w:lineRule="exact"/>
        <w:rPr>
          <w:sz w:val="20"/>
          <w:szCs w:val="20"/>
          <w:color w:val="auto"/>
        </w:rPr>
      </w:pPr>
    </w:p>
    <w:p>
      <w:pPr>
        <w:ind w:right="140" w:firstLine="255"/>
        <w:spacing w:after="0" w:line="276" w:lineRule="auto"/>
        <w:rPr>
          <w:sz w:val="20"/>
          <w:szCs w:val="20"/>
          <w:color w:val="auto"/>
        </w:rPr>
      </w:pPr>
      <w:r>
        <w:rPr>
          <w:rFonts w:ascii="Times New Roman" w:cs="Times New Roman" w:eastAsia="Times New Roman" w:hAnsi="Times New Roman"/>
          <w:sz w:val="14"/>
          <w:szCs w:val="14"/>
          <w:color w:val="auto"/>
        </w:rPr>
        <w:t>Other (income) expense, net was $69 and $65 in 2022 and 2021, respectively. Other (income) expense, net in 2022 included charges resulting from the 2022 Global Productivity Initiative, a gain on the sale of land in Asia Pacific and acquisition-related costs. Other (income) expense, net in 2021 included a benefit related to a value-added tax matter in Brazil.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 GAAP</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Global Productivity Initiative</w:t>
            </w:r>
          </w:p>
        </w:tc>
        <w:tc>
          <w:tcPr>
            <w:tcW w:w="9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the sale of land in Asia Pacific</w:t>
            </w: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Acquisition-related costs</w:t>
            </w:r>
          </w:p>
        </w:tc>
        <w:tc>
          <w:tcPr>
            <w:tcW w:w="9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Value-added tax matter in Brazil</w:t>
            </w:r>
          </w:p>
        </w:tc>
        <w:tc>
          <w:tcPr>
            <w:tcW w:w="9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 non-GAAP</w:t>
            </w: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0"/>
        </w:trPr>
        <w:tc>
          <w:tcPr>
            <w:tcW w:w="8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Excluding the items described above in both periods, as applicable, Other (income) expense, net was $7 in 2022 and $91 in 2021, comprised of the following:</w:t>
      </w:r>
    </w:p>
    <w:p>
      <w:pPr>
        <w:spacing w:after="0" w:line="41"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84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income</w:t>
            </w:r>
          </w:p>
        </w:tc>
        <w:tc>
          <w:tcPr>
            <w:tcW w:w="9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from marketable securities and other assets</w:t>
            </w: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 tax refunds</w:t>
            </w:r>
          </w:p>
        </w:tc>
        <w:tc>
          <w:tcPr>
            <w:tcW w:w="9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9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0"/>
        </w:trPr>
        <w:tc>
          <w:tcPr>
            <w:tcW w:w="8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Goodwill and Intangible Assets Impairment Charges</w:t>
      </w:r>
    </w:p>
    <w:p>
      <w:pPr>
        <w:spacing w:after="0" w:line="189" w:lineRule="exact"/>
        <w:rPr>
          <w:sz w:val="20"/>
          <w:szCs w:val="20"/>
          <w:color w:val="auto"/>
        </w:rPr>
      </w:pPr>
    </w:p>
    <w:p>
      <w:pPr>
        <w:ind w:right="240" w:firstLine="255"/>
        <w:spacing w:after="0" w:line="242" w:lineRule="auto"/>
        <w:rPr>
          <w:sz w:val="20"/>
          <w:szCs w:val="20"/>
          <w:color w:val="auto"/>
        </w:rPr>
      </w:pPr>
      <w:r>
        <w:rPr>
          <w:rFonts w:ascii="Times New Roman" w:cs="Times New Roman" w:eastAsia="Times New Roman" w:hAnsi="Times New Roman"/>
          <w:sz w:val="14"/>
          <w:szCs w:val="14"/>
          <w:color w:val="auto"/>
        </w:rPr>
        <w:t>In the fourth quarter of 2022, the Company made revisions to the internal forecasts relating to its Filorga reporting unit due primarily to the continued impact of the COVID-19 pandemic, particularly in China, as a result of government restrictions and reduced consumer mobility, which negatively impacted consumption in the duty-free, travel retail and pharmacy channels. The Company concluded that the changes in circumstances in this reporting unit and the impact of significantly higher interest rates triggered the need for an interim impairment review of its indefinite-lived trademark, goodwill and long-lived assets which consists primarily of customer relationships. As a result of the interim impairment test, the Company concluded that the carrying value of the trademark and customer relationships exceeded their estimated fair value and recorded impairment charges of $300 and $89, respectively, reducing their carrying values to $257 and $118, respectively, as of December 31, 2022. After adjusting the carrying values of the trademark and customer relationship intangible assets, the Company completed a quantitative impairment test for goodwill and recorded a goodwill impairment charge of $332 in the Filorga reporting unit, reducing the carrying value of goodwill to $214 as of December 31, 2022.</w:t>
      </w:r>
    </w:p>
    <w:p>
      <w:pPr>
        <w:spacing w:after="0" w:line="169" w:lineRule="exact"/>
        <w:rPr>
          <w:sz w:val="20"/>
          <w:szCs w:val="20"/>
          <w:color w:val="auto"/>
        </w:rPr>
      </w:pPr>
    </w:p>
    <w:p>
      <w:pPr>
        <w:ind w:right="80" w:firstLine="255"/>
        <w:spacing w:after="0" w:line="241" w:lineRule="auto"/>
        <w:rPr>
          <w:sz w:val="20"/>
          <w:szCs w:val="20"/>
          <w:color w:val="auto"/>
        </w:rPr>
      </w:pPr>
      <w:r>
        <w:rPr>
          <w:rFonts w:ascii="Times New Roman" w:cs="Times New Roman" w:eastAsia="Times New Roman" w:hAnsi="Times New Roman"/>
          <w:sz w:val="14"/>
          <w:szCs w:val="14"/>
          <w:color w:val="auto"/>
        </w:rPr>
        <w:t>In the fourth quarter of 2021, the Company made revisions to the internal forecasts relating to its Filorga reporting unit due primarily to the impact of the COVID-19 pandemic on the Filorga skin health business as a result of government restrictions and reduced consumer mobility, which negatively impacted consumption in the duty-free, travel retail and pharmacy channels. The Company performed an impairment review and concluded that the carrying value of the trademark exceeded its estimated fair value, and recorded an impairment charge of $204, reducing the carrying value to approximately $588. After adjusting the carrying value of the trademark, the Company completed a quantitative impairment test for goodwill and recorded a goodwill impairment charge of $367 in the Filorga reporting unit, reducing the carrying value of goodwill to approximately $577.</w:t>
      </w:r>
    </w:p>
    <w:p>
      <w:pPr>
        <w:spacing w:after="0" w:line="168" w:lineRule="exact"/>
        <w:rPr>
          <w:sz w:val="20"/>
          <w:szCs w:val="20"/>
          <w:color w:val="auto"/>
        </w:rPr>
      </w:pPr>
    </w:p>
    <w:p>
      <w:pPr>
        <w:ind w:right="400" w:firstLine="255"/>
        <w:spacing w:after="0" w:line="271" w:lineRule="auto"/>
        <w:rPr>
          <w:sz w:val="20"/>
          <w:szCs w:val="20"/>
          <w:color w:val="auto"/>
        </w:rPr>
      </w:pPr>
      <w:r>
        <w:rPr>
          <w:rFonts w:ascii="Times New Roman" w:cs="Times New Roman" w:eastAsia="Times New Roman" w:hAnsi="Times New Roman"/>
          <w:sz w:val="14"/>
          <w:szCs w:val="14"/>
          <w:color w:val="auto"/>
        </w:rPr>
        <w:t>The Company continues to believe in the strength of the Filorga brand and is confident about its growth opportunities. See Note 5, Goodwill and Other Intangible Assets to the Consolidated Financial Statements for further information.</w:t>
      </w:r>
    </w:p>
    <w:p>
      <w:pPr>
        <w:spacing w:after="0" w:line="4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Profit</w:t>
      </w:r>
    </w:p>
    <w:p>
      <w:pPr>
        <w:spacing w:after="0" w:line="20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Operating profit decreased 13% to $2,893 in 2022 from $3,332 in 2021. In 2022, Operating profit included goodwill and intangible assets impairment charges related to the Filorga reporting unit, charges resulting from the 2022 Global Productivity Initiative, a gain on the sale of land in Asia Pacific and acquisition-related costs. In 2021, Operating profit included goodwill and intangible assets impairment charges related to the Filorga reporting unit and a benefit related to a value-added tax matter in Brazil. Excluding these items in both periods, as applicable, Operating profit decreased 5% to $3,681 in 2022 from $3,877 in 2021.</w:t>
      </w:r>
    </w:p>
    <w:p>
      <w:pPr>
        <w:spacing w:after="0" w:line="162" w:lineRule="exact"/>
        <w:rPr>
          <w:sz w:val="20"/>
          <w:szCs w:val="20"/>
          <w:color w:val="auto"/>
        </w:rPr>
      </w:pPr>
    </w:p>
    <w:p>
      <w:pPr>
        <w:jc w:val="both"/>
        <w:ind w:right="100" w:firstLine="141"/>
        <w:spacing w:after="0" w:line="270" w:lineRule="auto"/>
        <w:rPr>
          <w:sz w:val="20"/>
          <w:szCs w:val="20"/>
          <w:color w:val="auto"/>
        </w:rPr>
      </w:pPr>
      <w:r>
        <w:rPr>
          <w:rFonts w:ascii="Times New Roman" w:cs="Times New Roman" w:eastAsia="Times New Roman" w:hAnsi="Times New Roman"/>
          <w:sz w:val="14"/>
          <w:szCs w:val="14"/>
          <w:color w:val="auto"/>
        </w:rPr>
        <w:t>Operating profit margin was 16.1% in 2022, a decrease of 300 bps compared with 19.1% in 2021. Excluding the items described above in both periods, as applicable, Operating profit margin was 20.5% in 2022, a decrease of 180 bps from 22.3% in 2021. This decrease in Operating profit in 2022 was due to a decrease in Gross profit (260 bps), partially offset by a decrease in Other (income) expense, net (50 bps) and a decrease in selling, general and administrative expenses (30 bps), all as a percentage of Net sales.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 Change</w:t>
            </w:r>
          </w:p>
        </w:tc>
      </w:tr>
      <w:tr>
        <w:trPr>
          <w:trHeight w:val="171"/>
        </w:trPr>
        <w:tc>
          <w:tcPr>
            <w:tcW w:w="68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profit, GAAP</w:t>
            </w:r>
          </w:p>
        </w:tc>
        <w:tc>
          <w:tcPr>
            <w:tcW w:w="900" w:type="dxa"/>
            <w:vAlign w:val="bottom"/>
            <w:tcBorders>
              <w:top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3,332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r>
      <w:tr>
        <w:trPr>
          <w:trHeight w:val="18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impairment charges</w:t>
            </w: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Global Productivity Initiative</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Gain on the sale of land in Asia Pacific</w:t>
            </w: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Acquisition-related costs</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Value-added tax matter in Brazil</w:t>
            </w:r>
          </w:p>
        </w:tc>
        <w:tc>
          <w:tcPr>
            <w:tcW w:w="9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68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profit, non-GAAP</w:t>
            </w:r>
          </w:p>
        </w:tc>
        <w:tc>
          <w:tcPr>
            <w:tcW w:w="90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3,877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3"/>
        </w:trPr>
        <w:tc>
          <w:tcPr>
            <w:tcW w:w="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Basis Point Change</w:t>
            </w:r>
          </w:p>
        </w:tc>
      </w:tr>
      <w:tr>
        <w:trPr>
          <w:trHeight w:val="171"/>
        </w:trPr>
        <w:tc>
          <w:tcPr>
            <w:tcW w:w="80" w:type="dxa"/>
            <w:vAlign w:val="bottom"/>
          </w:tcPr>
          <w:p>
            <w:pPr>
              <w:spacing w:after="0"/>
              <w:rPr>
                <w:sz w:val="14"/>
                <w:szCs w:val="14"/>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profit margin, GAAP</w:t>
            </w:r>
          </w:p>
        </w:tc>
        <w:tc>
          <w:tcPr>
            <w:tcW w:w="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16.1 %</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19.1 %</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8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 and intangible assets impairment charges</w:t>
            </w:r>
          </w:p>
        </w:tc>
        <w:tc>
          <w:tcPr>
            <w:tcW w:w="9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 Global Productivity Initiative</w:t>
            </w:r>
          </w:p>
        </w:tc>
        <w:tc>
          <w:tcPr>
            <w:tcW w:w="9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Gain on the sale of land in Asia Pacific</w:t>
            </w:r>
          </w:p>
        </w:tc>
        <w:tc>
          <w:tcPr>
            <w:tcW w:w="9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9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Value-added tax matter in Brazil</w:t>
            </w: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91"/>
        </w:trPr>
        <w:tc>
          <w:tcPr>
            <w:tcW w:w="80" w:type="dxa"/>
            <w:vAlign w:val="bottom"/>
          </w:tcPr>
          <w:p>
            <w:pPr>
              <w:spacing w:after="0"/>
              <w:rPr>
                <w:sz w:val="16"/>
                <w:szCs w:val="16"/>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profit margin, non-GAAP</w:t>
            </w:r>
          </w:p>
        </w:tc>
        <w:tc>
          <w:tcPr>
            <w:tcW w:w="9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20.5 %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22.3 %</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(180)</w:t>
            </w:r>
          </w:p>
        </w:tc>
      </w:tr>
      <w:tr>
        <w:trPr>
          <w:trHeight w:val="20"/>
        </w:trPr>
        <w:tc>
          <w:tcPr>
            <w:tcW w:w="8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Non-Service Related Postretirement Costs</w:t>
      </w:r>
    </w:p>
    <w:p>
      <w:pPr>
        <w:spacing w:after="0" w:line="200" w:lineRule="exact"/>
        <w:rPr>
          <w:sz w:val="20"/>
          <w:szCs w:val="20"/>
          <w:color w:val="auto"/>
        </w:rPr>
      </w:pPr>
    </w:p>
    <w:p>
      <w:pPr>
        <w:ind w:right="620" w:firstLine="255"/>
        <w:spacing w:after="0" w:line="287" w:lineRule="auto"/>
        <w:rPr>
          <w:sz w:val="20"/>
          <w:szCs w:val="20"/>
          <w:color w:val="auto"/>
        </w:rPr>
      </w:pPr>
      <w:r>
        <w:rPr>
          <w:rFonts w:ascii="Times New Roman" w:cs="Times New Roman" w:eastAsia="Times New Roman" w:hAnsi="Times New Roman"/>
          <w:sz w:val="14"/>
          <w:szCs w:val="14"/>
          <w:color w:val="auto"/>
        </w:rPr>
        <w:t>Non-service related postretirement costs were $80 in 2022 compared to $70 in 2021. In 2022, Non-service related postretirement costs included charges resulting from the 2022 Global Productivity Initiative. Excluding charges resulting from the 2022 Global Productivity Initiative, Non-service related postretirement costs were $65 in 2022 compared to $70 in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 GAAP</w:t>
            </w:r>
          </w:p>
        </w:tc>
        <w:tc>
          <w:tcPr>
            <w:tcW w:w="82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2022 Global Productivity Initiative</w:t>
            </w: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 non-GAAP</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(Income) Expense, Net</w:t>
      </w:r>
    </w:p>
    <w:p>
      <w:pPr>
        <w:spacing w:after="0" w:line="200"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Interest (income) expense, net was $153 in 2022 compared to $175 in 2021. In 2021, Interest (income) expense, net included a loss on the early extinguishment of debt. Excluding the loss on the early extinguishment of debt, Interest (income) expense, net was $153 in 2022 compared to $100 in 2021, primarily due to higher average interest rates on debt and higher debt balances.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54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expense, net, GAAP</w:t>
            </w:r>
          </w:p>
        </w:tc>
        <w:tc>
          <w:tcPr>
            <w:tcW w:w="45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4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6"/>
                <w:szCs w:val="16"/>
                <w:color w:val="auto"/>
              </w:rPr>
            </w:pPr>
          </w:p>
        </w:tc>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expense, net, non-GAAP</w:t>
            </w:r>
          </w:p>
        </w:tc>
        <w:tc>
          <w:tcPr>
            <w:tcW w:w="45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869"/>
              <w:spacing w:after="0"/>
              <w:rPr>
                <w:sz w:val="20"/>
                <w:szCs w:val="20"/>
                <w:color w:val="auto"/>
              </w:rPr>
            </w:pPr>
            <w:r>
              <w:rPr>
                <w:rFonts w:ascii="Times New Roman" w:cs="Times New Roman" w:eastAsia="Times New Roman" w:hAnsi="Times New Roman"/>
                <w:sz w:val="14"/>
                <w:szCs w:val="14"/>
                <w:color w:val="auto"/>
              </w:rPr>
              <w:t>35</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45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Income Taxes</w:t>
      </w:r>
    </w:p>
    <w:p>
      <w:pPr>
        <w:spacing w:after="0" w:line="200" w:lineRule="exact"/>
        <w:rPr>
          <w:sz w:val="20"/>
          <w:szCs w:val="20"/>
          <w:color w:val="auto"/>
        </w:rPr>
      </w:pPr>
    </w:p>
    <w:p>
      <w:pPr>
        <w:ind w:left="8140" w:right="740" w:hanging="7889"/>
        <w:spacing w:after="0" w:line="302" w:lineRule="auto"/>
        <w:rPr>
          <w:sz w:val="20"/>
          <w:szCs w:val="20"/>
          <w:color w:val="auto"/>
        </w:rPr>
      </w:pPr>
      <w:r>
        <w:rPr>
          <w:rFonts w:ascii="Times New Roman" w:cs="Times New Roman" w:eastAsia="Times New Roman" w:hAnsi="Times New Roman"/>
          <w:sz w:val="14"/>
          <w:szCs w:val="14"/>
          <w:color w:val="auto"/>
        </w:rPr>
        <w:t>The effective income tax rate was 26.1% in 2022 and 24.3% in 2021. As reflected in the table below, the non-GAAP effective income tax rate was 23.3% in 2022 and 22.0% in 2021. 2022</w:t>
      </w:r>
    </w:p>
    <w:tbl>
      <w:tblPr>
        <w:tblLayout w:type="fixed"/>
        <w:tblInd w:w="0" w:type="dxa"/>
        <w:tblCellMar>
          <w:top w:w="0" w:type="dxa"/>
          <w:left w:w="0" w:type="dxa"/>
          <w:bottom w:w="0" w:type="dxa"/>
          <w:right w:w="0" w:type="dxa"/>
        </w:tblCellMar>
      </w:tblPr>
      <w:tr>
        <w:trPr>
          <w:trHeight w:val="152"/>
        </w:trPr>
        <w:tc>
          <w:tcPr>
            <w:tcW w:w="5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spacing w:after="0" w:line="152" w:lineRule="exact"/>
              <w:rPr>
                <w:sz w:val="20"/>
                <w:szCs w:val="20"/>
                <w:color w:val="auto"/>
              </w:rPr>
            </w:pPr>
            <w:r>
              <w:rPr>
                <w:rFonts w:ascii="Times New Roman" w:cs="Times New Roman" w:eastAsia="Times New Roman" w:hAnsi="Times New Roman"/>
                <w:sz w:val="14"/>
                <w:szCs w:val="14"/>
                <w:color w:val="auto"/>
              </w:rPr>
              <w:t>Income Before Income Taxes</w:t>
            </w:r>
          </w:p>
        </w:tc>
        <w:tc>
          <w:tcPr>
            <w:tcW w:w="8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spacing w:after="0" w:line="152" w:lineRule="exact"/>
              <w:rPr>
                <w:sz w:val="20"/>
                <w:szCs w:val="20"/>
                <w:color w:val="auto"/>
              </w:rPr>
            </w:pPr>
            <w:r>
              <w:rPr>
                <w:rFonts w:ascii="Times New Roman" w:cs="Times New Roman" w:eastAsia="Times New Roman" w:hAnsi="Times New Roman"/>
                <w:sz w:val="13"/>
                <w:szCs w:val="13"/>
                <w:color w:val="auto"/>
              </w:rPr>
              <w:t>Provision For Income Taxes</w:t>
            </w:r>
            <w:r>
              <w:rPr>
                <w:rFonts w:ascii="Times New Roman" w:cs="Times New Roman" w:eastAsia="Times New Roman" w:hAnsi="Times New Roman"/>
                <w:sz w:val="17"/>
                <w:szCs w:val="17"/>
                <w:color w:val="auto"/>
                <w:vertAlign w:val="superscript"/>
              </w:rPr>
              <w:t>(1)</w:t>
            </w:r>
          </w:p>
        </w:tc>
        <w:tc>
          <w:tcPr>
            <w:tcW w:w="2000" w:type="dxa"/>
            <w:vAlign w:val="bottom"/>
            <w:tcBorders>
              <w:top w:val="single" w:sz="8" w:color="auto"/>
            </w:tcBorders>
          </w:tcPr>
          <w:p>
            <w:pPr>
              <w:jc w:val="right"/>
              <w:ind w:right="110"/>
              <w:spacing w:after="0" w:line="152" w:lineRule="exact"/>
              <w:rPr>
                <w:sz w:val="20"/>
                <w:szCs w:val="20"/>
                <w:color w:val="auto"/>
              </w:rPr>
            </w:pPr>
            <w:r>
              <w:rPr>
                <w:rFonts w:ascii="Times New Roman" w:cs="Times New Roman" w:eastAsia="Times New Roman" w:hAnsi="Times New Roman"/>
                <w:sz w:val="13"/>
                <w:szCs w:val="13"/>
                <w:color w:val="auto"/>
              </w:rPr>
              <w:t>Effective Income Tax Rate</w:t>
            </w:r>
            <w:r>
              <w:rPr>
                <w:rFonts w:ascii="Times New Roman" w:cs="Times New Roman" w:eastAsia="Times New Roman" w:hAnsi="Times New Roman"/>
                <w:sz w:val="17"/>
                <w:szCs w:val="17"/>
                <w:color w:val="auto"/>
                <w:vertAlign w:val="superscript"/>
              </w:rPr>
              <w:t>(2)</w:t>
            </w:r>
          </w:p>
        </w:tc>
      </w:tr>
      <w:tr>
        <w:trPr>
          <w:trHeight w:val="17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26.1 %</w:t>
            </w: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impairment charges</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Global Productivity Initiative</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the sale of land in Asia Pacific</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Acquisition-related costs</w:t>
            </w:r>
          </w:p>
        </w:tc>
        <w:tc>
          <w:tcPr>
            <w:tcW w:w="1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23.3 %</w:t>
            </w: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343"/>
        </w:trPr>
        <w:tc>
          <w:tcPr>
            <w:tcW w:w="5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0" w:type="dxa"/>
            <w:vAlign w:val="bottom"/>
          </w:tcPr>
          <w:p>
            <w:pPr>
              <w:spacing w:after="0"/>
              <w:rPr>
                <w:sz w:val="14"/>
                <w:szCs w:val="14"/>
                <w:color w:val="auto"/>
              </w:rPr>
            </w:pPr>
          </w:p>
        </w:tc>
        <w:tc>
          <w:tcPr>
            <w:tcW w:w="1880" w:type="dxa"/>
            <w:vAlign w:val="bottom"/>
            <w:gridSpan w:val="2"/>
          </w:tcPr>
          <w:p>
            <w:pPr>
              <w:spacing w:after="0" w:line="171" w:lineRule="exact"/>
              <w:rPr>
                <w:sz w:val="20"/>
                <w:szCs w:val="20"/>
                <w:color w:val="auto"/>
              </w:rPr>
            </w:pPr>
            <w:r>
              <w:rPr>
                <w:rFonts w:ascii="Times New Roman" w:cs="Times New Roman" w:eastAsia="Times New Roman" w:hAnsi="Times New Roman"/>
                <w:sz w:val="14"/>
                <w:szCs w:val="14"/>
                <w:color w:val="auto"/>
              </w:rPr>
              <w:t>Provision For Income Taxes</w:t>
            </w:r>
            <w:r>
              <w:rPr>
                <w:rFonts w:ascii="Times New Roman" w:cs="Times New Roman" w:eastAsia="Times New Roman" w:hAnsi="Times New Roman"/>
                <w:sz w:val="18"/>
                <w:szCs w:val="18"/>
                <w:color w:val="auto"/>
                <w:vertAlign w:val="superscript"/>
              </w:rPr>
              <w:t>(1)</w:t>
            </w:r>
          </w:p>
        </w:tc>
        <w:tc>
          <w:tcPr>
            <w:tcW w:w="2000" w:type="dxa"/>
            <w:vAlign w:val="bottom"/>
          </w:tcPr>
          <w:p>
            <w:pPr>
              <w:jc w:val="right"/>
              <w:ind w:right="110"/>
              <w:spacing w:after="0" w:line="171" w:lineRule="exact"/>
              <w:rPr>
                <w:sz w:val="20"/>
                <w:szCs w:val="20"/>
                <w:color w:val="auto"/>
              </w:rPr>
            </w:pPr>
            <w:r>
              <w:rPr>
                <w:rFonts w:ascii="Times New Roman" w:cs="Times New Roman" w:eastAsia="Times New Roman" w:hAnsi="Times New Roman"/>
                <w:sz w:val="14"/>
                <w:szCs w:val="14"/>
                <w:color w:val="auto"/>
              </w:rPr>
              <w:t>Effective Income Tax Rate</w:t>
            </w:r>
            <w:r>
              <w:rPr>
                <w:rFonts w:ascii="Times New Roman" w:cs="Times New Roman" w:eastAsia="Times New Roman" w:hAnsi="Times New Roman"/>
                <w:sz w:val="18"/>
                <w:szCs w:val="18"/>
                <w:color w:val="auto"/>
                <w:vertAlign w:val="superscript"/>
              </w:rPr>
              <w:t>(2)</w:t>
            </w:r>
          </w:p>
        </w:tc>
      </w:tr>
      <w:tr>
        <w:trPr>
          <w:trHeight w:val="17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24.3 %</w:t>
            </w: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impairment charges</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Value-added tax matters in Brazil</w:t>
            </w: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6"/>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w:t>
      </w:r>
    </w:p>
    <w:p>
      <w:pPr>
        <w:ind w:left="220" w:hanging="215"/>
        <w:spacing w:after="0" w:line="183" w:lineRule="auto"/>
        <w:tabs>
          <w:tab w:leader="none" w:pos="22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The income tax effect on non-GAAP items is calculated based upon the tax laws and statutory income tax rates applicable in the tax jurisdiction(s) of the underlying non-GAAP adjustment.</w:t>
      </w:r>
    </w:p>
    <w:p>
      <w:pPr>
        <w:spacing w:after="0" w:line="3" w:lineRule="exact"/>
        <w:rPr>
          <w:rFonts w:ascii="Times New Roman" w:cs="Times New Roman" w:eastAsia="Times New Roman" w:hAnsi="Times New Roman"/>
          <w:sz w:val="18"/>
          <w:szCs w:val="18"/>
          <w:color w:val="auto"/>
          <w:vertAlign w:val="superscript"/>
        </w:rPr>
      </w:pPr>
    </w:p>
    <w:p>
      <w:pPr>
        <w:ind w:left="220" w:hanging="215"/>
        <w:spacing w:after="0" w:line="187" w:lineRule="auto"/>
        <w:tabs>
          <w:tab w:leader="none" w:pos="220"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The impact of non-GAAP items on the Company’s effective tax rate represents the difference in the effective tax rate calculated with and without the non-GAAP adjustment on Income before income taxes and Provision for income taxes.</w:t>
      </w:r>
    </w:p>
    <w:p>
      <w:pPr>
        <w:spacing w:after="0" w:line="372" w:lineRule="exact"/>
        <w:rPr>
          <w:sz w:val="20"/>
          <w:szCs w:val="20"/>
          <w:color w:val="auto"/>
        </w:rPr>
      </w:pPr>
    </w:p>
    <w:p>
      <w:pPr>
        <w:jc w:val="both"/>
        <w:ind w:right="80" w:firstLine="255"/>
        <w:spacing w:after="0" w:line="307" w:lineRule="auto"/>
        <w:rPr>
          <w:sz w:val="20"/>
          <w:szCs w:val="20"/>
          <w:color w:val="auto"/>
        </w:rPr>
      </w:pPr>
      <w:r>
        <w:rPr>
          <w:rFonts w:ascii="Times New Roman" w:cs="Times New Roman" w:eastAsia="Times New Roman" w:hAnsi="Times New Roman"/>
          <w:sz w:val="14"/>
          <w:szCs w:val="14"/>
          <w:color w:val="auto"/>
        </w:rPr>
        <w:t>The increase in the Company</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s full year effective tax rate before discrete period items is primarily driven by the impact of recently finalized U.S. tax regulations, which place greater restrictions on foreign taxes that are creditable against U.S. taxes on foreign-sourced income.</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effective income tax rate in all years benefited from tax planning associated with the Company's global business initiatives.</w:t>
      </w:r>
    </w:p>
    <w:p>
      <w:pPr>
        <w:spacing w:after="0" w:line="189" w:lineRule="exact"/>
        <w:rPr>
          <w:sz w:val="20"/>
          <w:szCs w:val="20"/>
          <w:color w:val="auto"/>
        </w:rPr>
      </w:pPr>
    </w:p>
    <w:p>
      <w:pPr>
        <w:ind w:right="260" w:firstLine="255"/>
        <w:spacing w:after="0" w:line="254" w:lineRule="auto"/>
        <w:rPr>
          <w:sz w:val="20"/>
          <w:szCs w:val="20"/>
          <w:color w:val="auto"/>
        </w:rPr>
      </w:pPr>
      <w:r>
        <w:rPr>
          <w:rFonts w:ascii="Times New Roman" w:cs="Times New Roman" w:eastAsia="Times New Roman" w:hAnsi="Times New Roman"/>
          <w:sz w:val="14"/>
          <w:szCs w:val="14"/>
          <w:color w:val="auto"/>
        </w:rPr>
        <w:t>On August 16, 2022, the Inflation Reduction Act of 2022 (“IRA”) was enacted, which among other things, implements a 15% minimum tax on book income of certain large corporations effective for years beginning after December 31, 2022. Based on the Company’s preliminary analysis, the IRA is not expected to have a material impact on the Company’s Consolidated Financial Statements. The Company will continue to evaluate the impact of this law as additional guidance and clarification becomes available.</w:t>
      </w:r>
    </w:p>
    <w:p>
      <w:pPr>
        <w:spacing w:after="0" w:line="168"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Additionally, on December 15, 2022, the 27 member states of the European Union (“EU”) reached an agreement on a minimum level of taxation for certain large corporations to pay a minimum corporate tax rate of 15% in every jurisdiction in which they operate. This agreement, which is known as the Minimum Taxation Directive, must be transposed into the laws of all EU member states by December 31, 2023. The Company is currently evaluating the impact of this Directive on the Company’s Consolidated Financial Statements.</w:t>
      </w:r>
    </w:p>
    <w:p>
      <w:pPr>
        <w:spacing w:after="0" w:line="157"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The Company has ongoing federal, state and international income tax audits in various jurisdictions and evaluates uncertain tax positions that may be challenged by local tax authorities and not fully sustained. All U.S. federal income tax returns through December 31, 2013 have been audited by the Internal Revenue Service (the “IRS”) and there are limited matters which the Company plans to appeal for years 2010 through 2013. One such matter relates to the IRS assessment of taxes on the Company by imputing income on certain activities within one of our international operations. In light of a recent U.S. Tax Court ruling subsequent to December 31, 2022 in favor of the IRS against an unrelated party on a similar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matter, the Company is in the process of reassessing its position as it relates to this matter. The Company is currently under audit by the IRS, where the same matter is being discussed, for the years 2014 through 2018. The amount of tax plus interest for the years 2010 through 2018 is estimated to be approximately $145, which is not included in our uncertain tax positions. Refer to Note 11, Income Taxes to the Consolidated Financial Statements for further discussion of the Company’s tax matters.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Net income attributable to Colgate-Palmolive Company and Earnings per share</w:t>
      </w:r>
    </w:p>
    <w:p>
      <w:pPr>
        <w:spacing w:after="0" w:line="200"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Net income attributable to Colgate-Palmolive Company was $1,785, or $2.13 per share on a diluted basis, in 2022, a decrease from $2,166, or $2.55 per share on a diluted basis, in 2021. In 2022, Net income attributable to Colgate-Palmolive Company included goodwill and intangible assets impairment charges, charges resulting from the 2022 Global Productivity Initiative, a gain on the sale of land in Asia Pacific and acquisition-related costs. In 2021, Net income attributable to Colgate-Palmolive Company included goodwill and intangible assets impairment charges, a loss on the early extinguishment of debt and a benefit related to a value-added tax matter in Brazil.</w:t>
      </w:r>
    </w:p>
    <w:p>
      <w:pPr>
        <w:spacing w:after="0" w:line="162" w:lineRule="exact"/>
        <w:rPr>
          <w:sz w:val="20"/>
          <w:szCs w:val="20"/>
          <w:color w:val="auto"/>
        </w:rPr>
      </w:pPr>
    </w:p>
    <w:p>
      <w:pPr>
        <w:ind w:right="160" w:firstLine="255"/>
        <w:spacing w:after="0" w:line="276" w:lineRule="auto"/>
        <w:rPr>
          <w:sz w:val="20"/>
          <w:szCs w:val="20"/>
          <w:color w:val="auto"/>
        </w:rPr>
      </w:pPr>
      <w:r>
        <w:rPr>
          <w:rFonts w:ascii="Times New Roman" w:cs="Times New Roman" w:eastAsia="Times New Roman" w:hAnsi="Times New Roman"/>
          <w:sz w:val="14"/>
          <w:szCs w:val="14"/>
          <w:color w:val="auto"/>
        </w:rPr>
        <w:t>Excluding the items described above in both periods, as applicable, Net income attributable to Colgate-Palmolive Company decreased 8% to $2,493 in 2022 from $2,719 in 2021, and Earnings per common share on a diluted basis decreased 7% to $2.97 in 2022 from $3.21 in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1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Income Before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Provision For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Net Income Including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Less: Income Attributable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Net Income Attributable to</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9"/>
              <w:spacing w:after="0" w:line="129" w:lineRule="exact"/>
              <w:rPr>
                <w:sz w:val="20"/>
                <w:szCs w:val="20"/>
                <w:color w:val="auto"/>
              </w:rPr>
            </w:pPr>
            <w:r>
              <w:rPr>
                <w:rFonts w:ascii="Times New Roman" w:cs="Times New Roman" w:eastAsia="Times New Roman" w:hAnsi="Times New Roman"/>
                <w:sz w:val="14"/>
                <w:szCs w:val="14"/>
                <w:color w:val="auto"/>
                <w:w w:val="99"/>
              </w:rPr>
              <w:t>Diluted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9"/>
              </w:rPr>
              <w:t>To Noncontrolling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4"/>
                <w:szCs w:val="14"/>
                <w:color w:val="auto"/>
              </w:rPr>
              <w:t>Colgate-Palmolive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9"/>
              <w:spacing w:after="0" w:line="138" w:lineRule="exact"/>
              <w:rPr>
                <w:sz w:val="20"/>
                <w:szCs w:val="20"/>
                <w:color w:val="auto"/>
              </w:rPr>
            </w:pPr>
            <w:r>
              <w:rPr>
                <w:rFonts w:ascii="Times New Roman" w:cs="Times New Roman" w:eastAsia="Times New Roman" w:hAnsi="Times New Roman"/>
                <w:sz w:val="14"/>
                <w:szCs w:val="14"/>
                <w:color w:val="auto"/>
              </w:rPr>
              <w:t>Earnings Per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tcPr>
          <w:p>
            <w:pPr>
              <w:spacing w:after="0"/>
              <w:rPr>
                <w:sz w:val="16"/>
                <w:szCs w:val="16"/>
                <w:color w:val="auto"/>
              </w:rPr>
            </w:pPr>
          </w:p>
        </w:tc>
        <w:tc>
          <w:tcPr>
            <w:tcW w:w="110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4"/>
                <w:szCs w:val="14"/>
                <w:color w:val="auto"/>
              </w:rPr>
              <w:t>Income Taxes</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Company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9"/>
              <w:spacing w:after="0" w:line="191" w:lineRule="exact"/>
              <w:rPr>
                <w:sz w:val="20"/>
                <w:szCs w:val="20"/>
                <w:color w:val="auto"/>
              </w:rPr>
            </w:pPr>
            <w:r>
              <w:rPr>
                <w:rFonts w:ascii="Times New Roman" w:cs="Times New Roman" w:eastAsia="Times New Roman" w:hAnsi="Times New Roman"/>
                <w:sz w:val="14"/>
                <w:szCs w:val="14"/>
                <w:color w:val="auto"/>
                <w:w w:val="91"/>
              </w:rPr>
              <w:t>Share</w:t>
            </w:r>
            <w:r>
              <w:rPr>
                <w:rFonts w:ascii="Times New Roman" w:cs="Times New Roman" w:eastAsia="Times New Roman" w:hAnsi="Times New Roman"/>
                <w:sz w:val="18"/>
                <w:szCs w:val="18"/>
                <w:color w:val="auto"/>
                <w:w w:val="91"/>
                <w:vertAlign w:val="superscript"/>
              </w:rPr>
              <w:t>(2)</w:t>
            </w:r>
          </w:p>
        </w:tc>
        <w:tc>
          <w:tcPr>
            <w:tcW w:w="0" w:type="dxa"/>
            <w:vAlign w:val="bottom"/>
          </w:tcPr>
          <w:p>
            <w:pPr>
              <w:spacing w:after="0"/>
              <w:rPr>
                <w:sz w:val="1"/>
                <w:szCs w:val="1"/>
                <w:color w:val="auto"/>
              </w:rPr>
            </w:pPr>
          </w:p>
        </w:tc>
      </w:tr>
      <w:tr>
        <w:trPr>
          <w:trHeight w:val="171"/>
        </w:trPr>
        <w:tc>
          <w:tcPr>
            <w:tcW w:w="3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 GAAP</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7"/>
              </w:rPr>
              <w:t>2.13</w:t>
            </w:r>
          </w:p>
        </w:tc>
        <w:tc>
          <w:tcPr>
            <w:tcW w:w="0" w:type="dxa"/>
            <w:vAlign w:val="bottom"/>
          </w:tcPr>
          <w:p>
            <w:pPr>
              <w:spacing w:after="0"/>
              <w:rPr>
                <w:sz w:val="1"/>
                <w:szCs w:val="1"/>
                <w:color w:val="auto"/>
              </w:rPr>
            </w:pPr>
          </w:p>
        </w:tc>
      </w:tr>
      <w:tr>
        <w:trPr>
          <w:trHeight w:val="18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impairment charges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7"/>
              </w:rPr>
              <w:t>0.74</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Global Productivity Initiative</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7"/>
              </w:rPr>
              <w:t>0.10</w:t>
            </w:r>
          </w:p>
        </w:tc>
        <w:tc>
          <w:tcPr>
            <w:tcW w:w="0" w:type="dxa"/>
            <w:vAlign w:val="bottom"/>
          </w:tcPr>
          <w:p>
            <w:pPr>
              <w:spacing w:after="0"/>
              <w:rPr>
                <w:sz w:val="1"/>
                <w:szCs w:val="1"/>
                <w:color w:val="auto"/>
              </w:rPr>
            </w:pPr>
          </w:p>
        </w:tc>
      </w:tr>
      <w:tr>
        <w:trPr>
          <w:trHeight w:val="18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Gain on the sale of land in Asia Pacific</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Acquisition-related costs</w:t>
            </w: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7"/>
              </w:rPr>
              <w:t>0.02</w:t>
            </w:r>
          </w:p>
        </w:tc>
        <w:tc>
          <w:tcPr>
            <w:tcW w:w="0" w:type="dxa"/>
            <w:vAlign w:val="bottom"/>
          </w:tcPr>
          <w:p>
            <w:pPr>
              <w:spacing w:after="0"/>
              <w:rPr>
                <w:sz w:val="1"/>
                <w:szCs w:val="1"/>
                <w:color w:val="auto"/>
              </w:rPr>
            </w:pPr>
          </w:p>
        </w:tc>
      </w:tr>
      <w:tr>
        <w:trPr>
          <w:trHeight w:val="171"/>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7"/>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color w:val="auto"/>
                <w:w w:val="99"/>
              </w:rPr>
              <w:t>2021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Income Before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Provision For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Net Income Including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Less: Income Attributable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Net Income Attributable to</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w w:val="99"/>
              </w:rPr>
              <w:t>Diluted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4"/>
                <w:szCs w:val="14"/>
                <w:color w:val="auto"/>
                <w:w w:val="99"/>
              </w:rPr>
              <w:t>To Noncontrolling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Colgate-Palmolive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9"/>
              <w:spacing w:after="0" w:line="138" w:lineRule="exact"/>
              <w:rPr>
                <w:sz w:val="20"/>
                <w:szCs w:val="20"/>
                <w:color w:val="auto"/>
              </w:rPr>
            </w:pPr>
            <w:r>
              <w:rPr>
                <w:rFonts w:ascii="Times New Roman" w:cs="Times New Roman" w:eastAsia="Times New Roman" w:hAnsi="Times New Roman"/>
                <w:sz w:val="14"/>
                <w:szCs w:val="14"/>
                <w:color w:val="auto"/>
              </w:rPr>
              <w:t>Earnings Per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tcPr>
          <w:p>
            <w:pPr>
              <w:spacing w:after="0"/>
              <w:rPr>
                <w:sz w:val="16"/>
                <w:szCs w:val="16"/>
                <w:color w:val="auto"/>
              </w:rPr>
            </w:pPr>
          </w:p>
        </w:tc>
        <w:tc>
          <w:tcPr>
            <w:tcW w:w="1100" w:type="dxa"/>
            <w:vAlign w:val="bottom"/>
            <w:gridSpan w:val="3"/>
          </w:tcPr>
          <w:p>
            <w:pPr>
              <w:jc w:val="center"/>
              <w:ind w:right="80"/>
              <w:spacing w:after="0" w:line="191" w:lineRule="exact"/>
              <w:rPr>
                <w:sz w:val="20"/>
                <w:szCs w:val="20"/>
                <w:color w:val="auto"/>
              </w:rPr>
            </w:pPr>
            <w:r>
              <w:rPr>
                <w:rFonts w:ascii="Times New Roman" w:cs="Times New Roman" w:eastAsia="Times New Roman" w:hAnsi="Times New Roman"/>
                <w:sz w:val="14"/>
                <w:szCs w:val="14"/>
                <w:color w:val="auto"/>
                <w:w w:val="96"/>
              </w:rPr>
              <w:t>Income Taxes</w:t>
            </w:r>
            <w:r>
              <w:rPr>
                <w:rFonts w:ascii="Times New Roman" w:cs="Times New Roman" w:eastAsia="Times New Roman" w:hAnsi="Times New Roman"/>
                <w:sz w:val="18"/>
                <w:szCs w:val="18"/>
                <w:color w:val="auto"/>
                <w:w w:val="96"/>
                <w:vertAlign w:val="superscript"/>
              </w:rPr>
              <w:t>(1)</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Interests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Company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49"/>
              <w:spacing w:after="0" w:line="191" w:lineRule="exact"/>
              <w:rPr>
                <w:sz w:val="20"/>
                <w:szCs w:val="20"/>
                <w:color w:val="auto"/>
              </w:rPr>
            </w:pPr>
            <w:r>
              <w:rPr>
                <w:rFonts w:ascii="Times New Roman" w:cs="Times New Roman" w:eastAsia="Times New Roman" w:hAnsi="Times New Roman"/>
                <w:sz w:val="14"/>
                <w:szCs w:val="14"/>
                <w:color w:val="auto"/>
                <w:w w:val="91"/>
              </w:rPr>
              <w:t>Share</w:t>
            </w:r>
            <w:r>
              <w:rPr>
                <w:rFonts w:ascii="Times New Roman" w:cs="Times New Roman" w:eastAsia="Times New Roman" w:hAnsi="Times New Roman"/>
                <w:sz w:val="18"/>
                <w:szCs w:val="18"/>
                <w:color w:val="auto"/>
                <w:w w:val="91"/>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 GAAP</w:t>
            </w: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3,087</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7"/>
              </w:rPr>
              <w:t>2.55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impairment charges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7"/>
              </w:rPr>
              <w:t>0.61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7"/>
              </w:rPr>
              <w:t>0.07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Value-added tax matters in Brazil</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3,707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7"/>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w:t>
      </w:r>
    </w:p>
    <w:p>
      <w:pPr>
        <w:ind w:left="220" w:hanging="215"/>
        <w:spacing w:after="0" w:line="183" w:lineRule="auto"/>
        <w:tabs>
          <w:tab w:leader="none" w:pos="2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The income tax effect on non-GAAP items is calculated based upon the tax laws and statutory income tax rates applicable in the tax jurisdiction(s) of the underlying non-GAAP adjustment.</w:t>
      </w:r>
    </w:p>
    <w:p>
      <w:pPr>
        <w:spacing w:after="0" w:line="3" w:lineRule="exact"/>
        <w:rPr>
          <w:rFonts w:ascii="Times New Roman" w:cs="Times New Roman" w:eastAsia="Times New Roman" w:hAnsi="Times New Roman"/>
          <w:sz w:val="18"/>
          <w:szCs w:val="18"/>
          <w:color w:val="auto"/>
          <w:vertAlign w:val="superscript"/>
        </w:rPr>
      </w:pPr>
    </w:p>
    <w:p>
      <w:pPr>
        <w:ind w:left="220" w:hanging="215"/>
        <w:spacing w:after="0" w:line="187" w:lineRule="auto"/>
        <w:tabs>
          <w:tab w:leader="none" w:pos="22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The impact of non-GAAP adjustments on diluted earnings per share may not necessarily equal the difference between “GAAP” and “non-GAAP” as a result of rounding.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Segment Results</w:t>
      </w:r>
    </w:p>
    <w:p>
      <w:pPr>
        <w:spacing w:after="0" w:line="200"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markets its products in over 200 countries and territories throughout the world in two product segments: Oral, Personal and Home Care; and Pet Nutrition. The Company evaluates segment performance based on several factors, including Operating profit. The Company uses Operating profit as a measure of the operating segment performance because it excludes the impact of corporate-driven decisions related to interest expense and 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Oral, Personal and Home Care</w:t>
            </w: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341"/>
        </w:trPr>
        <w:tc>
          <w:tcPr>
            <w:tcW w:w="17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North America</w:t>
            </w:r>
          </w:p>
        </w:tc>
        <w:tc>
          <w:tcPr>
            <w:tcW w:w="4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3"/>
        </w:trPr>
        <w:tc>
          <w:tcPr>
            <w:tcW w:w="1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680" w:type="dxa"/>
            <w:vAlign w:val="bottom"/>
            <w:tcBorders>
              <w:bottom w:val="single" w:sz="8" w:color="auto"/>
            </w:tcBorders>
          </w:tcPr>
          <w:p>
            <w:pPr>
              <w:spacing w:after="0"/>
              <w:rPr>
                <w:sz w:val="18"/>
                <w:szCs w:val="18"/>
                <w:color w:val="auto"/>
              </w:rPr>
            </w:pPr>
          </w:p>
        </w:tc>
      </w:tr>
      <w:tr>
        <w:trPr>
          <w:trHeight w:val="171"/>
        </w:trPr>
        <w:tc>
          <w:tcPr>
            <w:tcW w:w="5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3,816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3,694</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Operating profit</w:t>
            </w:r>
          </w:p>
        </w:tc>
        <w:tc>
          <w:tcPr>
            <w:tcW w:w="9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754</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1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(50) bps</w:t>
            </w:r>
          </w:p>
        </w:tc>
      </w:tr>
    </w:tbl>
    <w:p>
      <w:pPr>
        <w:spacing w:after="0" w:line="25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Net sales in North America increased 3.5% in 2022 to $3,816, driven by net selling price increases of 5.5%, partially offset by volume declines of 2.0%, while foreign exchange was flat. Organic sales in North America increased 3.5% in 2022. The organic sales growth was led by the United States.</w:t>
      </w:r>
    </w:p>
    <w:p>
      <w:pPr>
        <w:spacing w:after="0" w:line="145"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increase in organic sales in North America in 2022 versus 2021 was due to increases in Oral Care, Personal Care and Home Care organic sales. The increase in Oral Care was primarily due to organic sales growth in the toothpaste and manual toothbrush categories. The increase in Personal Care was primarily due to organic sales growth in the bar soap and liquid hand soap categories, partially offset by organic sales declines in the skin care category. The increase in Home Care was primarily due to organic sales growth in the surface cleaner and hand dish categories.</w:t>
      </w:r>
    </w:p>
    <w:p>
      <w:pPr>
        <w:spacing w:after="0" w:line="157"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Operating profit in North America increased 1% in 2022 to $761, while as a percentage of Net sales it decreased 50 bps to 19.9%. This decrease in Operating profit as a percentage of Net sales was primarily due to a decrease in Gross profit (60 bps), partially offset by a decrease in Selling, general and administrative expenses (40 bps), both as a percentage of Net sales. This decrease in Gross profit was primarily due to higher raw and packaging material costs (550 bps), partially offset by cost savings from the Company’s funding-the-growth initiatives (220 bps) and higher pricing. This decrease in Selling, general and administrative expenses was due to lower overhead expenses (40 bps), as overhead efficiencies (60 bps) more than offset higher logistics costs (20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Latin America</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3"/>
        </w:trPr>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CCEEFF"/>
            </w:tcBorders>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660" w:type="dxa"/>
            <w:vAlign w:val="bottom"/>
            <w:tcBorders>
              <w:bottom w:val="single" w:sz="8" w:color="auto"/>
            </w:tcBorders>
          </w:tcPr>
          <w:p>
            <w:pPr>
              <w:spacing w:after="0"/>
              <w:rPr>
                <w:sz w:val="18"/>
                <w:szCs w:val="18"/>
                <w:color w:val="auto"/>
              </w:rPr>
            </w:pPr>
          </w:p>
        </w:tc>
      </w:tr>
      <w:tr>
        <w:trPr>
          <w:trHeight w:val="171"/>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3,982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3,663</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profit</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1,108</w:t>
            </w:r>
          </w:p>
        </w:tc>
        <w:tc>
          <w:tcPr>
            <w:tcW w:w="14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1,012</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27.8 %</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27.6 %</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bps</w:t>
            </w: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sales in Latin America increased 8.5% in 2022 to $3,982, driven by net selling price increases of 15.5%, partially offset by volume declines of 5.0% and negative foreign exchange of 2.0%.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Organic sales in Latin America increased 10.5% in 2022. Organic sales growth was led by Mexico, Brazil, Argentina and Colombia.</w:t>
      </w:r>
    </w:p>
    <w:p>
      <w:pPr>
        <w:spacing w:after="0" w:line="9"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increase in organic sales in Latin America in 2022 versus 2021 was due to increases in Oral Care, Personal Care and Home Care organic sales. The increase in Oral Care was primarily due to organic sales growth in the toothpaste and manual toothbrush categories. The increase in Personal Care was primarily due to organic sales growth in the bar soap and underarm protection categories. The increase in Home Care was primarily due to organic sales growth in the surface cleaner and fabric softener categories.</w:t>
      </w:r>
    </w:p>
    <w:p>
      <w:pPr>
        <w:spacing w:after="0" w:line="165"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Operating profit in Latin America increased 10% in 2022 to $1,108, or 20 bps to 27.8% as a percentage of Net sales. This increase in Operating profit as a percentage of Net sales was due to a decrease in Selling, general and administrative expenses (40 bps) and a decrease in Other (income) expense, net (140 bps), partially offset by a decrease in Gross profit (160 bps), all as a percentage of Net sales. This decrease in Gross profit was primarily due to higher raw and packaging material costs (1,040 bps), which were partially offset by higher pricing and cost savings from the Company’s funding-the-growth initiatives (290 bps). This decrease in Selling, general and administrative expenses was due to decreased advertising investment (20 bps) and lower overhead expenses (20 bps), as overhead efficiencies (60 bps) more than offset higher logistics costs (40 bps). This decrease in Other (income) expense, net was primarily due to gains from marketable securities and other assets, and a value-added tax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Europe</w:t>
            </w: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13"/>
        </w:trPr>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 Change</w:t>
            </w:r>
          </w:p>
        </w:tc>
      </w:tr>
      <w:tr>
        <w:trPr>
          <w:trHeight w:val="171"/>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2,548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2,841</w:t>
            </w:r>
          </w:p>
        </w:tc>
        <w:tc>
          <w:tcPr>
            <w:tcW w:w="12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(10.5) %</w:t>
            </w:r>
          </w:p>
        </w:tc>
      </w:tr>
      <w:tr>
        <w:trPr>
          <w:trHeight w:val="180"/>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profit</w:t>
            </w:r>
          </w:p>
        </w:tc>
        <w:tc>
          <w:tcPr>
            <w:tcW w:w="9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5"/>
                <w:szCs w:val="15"/>
                <w:color w:val="auto"/>
              </w:rPr>
            </w:pPr>
          </w:p>
        </w:tc>
        <w:tc>
          <w:tcPr>
            <w:tcW w:w="20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24.0 %</w:t>
            </w: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(380) bps</w:t>
            </w:r>
          </w:p>
        </w:tc>
      </w:tr>
    </w:tbl>
    <w:p>
      <w:pPr>
        <w:spacing w:after="0" w:line="251" w:lineRule="exact"/>
        <w:rPr>
          <w:sz w:val="20"/>
          <w:szCs w:val="20"/>
          <w:color w:val="auto"/>
        </w:rPr>
      </w:pPr>
    </w:p>
    <w:p>
      <w:pPr>
        <w:ind w:right="60" w:firstLine="255"/>
        <w:spacing w:after="0" w:line="271" w:lineRule="auto"/>
        <w:rPr>
          <w:sz w:val="20"/>
          <w:szCs w:val="20"/>
          <w:color w:val="auto"/>
        </w:rPr>
      </w:pPr>
      <w:r>
        <w:rPr>
          <w:rFonts w:ascii="Times New Roman" w:cs="Times New Roman" w:eastAsia="Times New Roman" w:hAnsi="Times New Roman"/>
          <w:sz w:val="14"/>
          <w:szCs w:val="14"/>
          <w:color w:val="auto"/>
        </w:rPr>
        <w:t>Net sales in Europe decreased 10.5% in 2022 to $2,548, as volume declines of 4.0% and negative foreign exchange of 10.5% were partially offset by net selling price increases of 4.0%. Organic sales in Europe in 2022 were even with 2021.</w:t>
      </w:r>
    </w:p>
    <w:p>
      <w:pPr>
        <w:spacing w:after="0" w:line="14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Organic sales in Europe in 2022 versus 2021 were flat as increases in Oral Care and Home Care organic sales were offset by a decrease in Personal Care organic sales. The increase in Oral Care was primarily due to organic sales growth in the toothpaste and manual toothbrush categories, partially offset by organic sales declines in the mouthwash category. The increase in Home Care was primarily due to organic sales growth in the fabric softener category, partially offset by organic sales declines in the hand dish category. The decrease in Personal Care was primarily due to organic sales declines in the skin care and liquid hand soap categories.</w:t>
      </w:r>
    </w:p>
    <w:p>
      <w:pPr>
        <w:spacing w:after="0" w:line="16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Operating profit in Europe decreased 25% in 2022 to $514, or 380 bps to 20.2% as a percentage of Net sales. This decrease in Operating profit as a percentage of Net sales was primarily due to a decrease in Gross profit (400 bps) as a percentage of Net sales. This decrease in Gross profit was primarily due to higher raw and packaging material costs (800 bps), partially offset by cost savings from the Company’s funding-the-growth initiatives (220 bps) and higher pricing.</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Asia Pacific</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213"/>
        </w:trPr>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CCEEFF"/>
            </w:tcBorders>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 Change</w:t>
            </w:r>
          </w:p>
        </w:tc>
      </w:tr>
      <w:tr>
        <w:trPr>
          <w:trHeight w:val="171"/>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2,826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2,867</w:t>
            </w:r>
          </w:p>
        </w:tc>
        <w:tc>
          <w:tcPr>
            <w:tcW w:w="14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profit</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737</w:t>
            </w:r>
          </w:p>
        </w:tc>
        <w:tc>
          <w:tcPr>
            <w:tcW w:w="14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844</w:t>
            </w:r>
          </w:p>
        </w:tc>
        <w:tc>
          <w:tcPr>
            <w:tcW w:w="140" w:type="dxa"/>
            <w:vAlign w:val="bottom"/>
          </w:tcPr>
          <w:p>
            <w:pPr>
              <w:spacing w:after="0"/>
              <w:rPr>
                <w:sz w:val="15"/>
                <w:szCs w:val="15"/>
                <w:color w:val="auto"/>
              </w:rPr>
            </w:pPr>
          </w:p>
        </w:tc>
        <w:tc>
          <w:tcPr>
            <w:tcW w:w="19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(330) bps</w:t>
            </w: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sales in Asia Pacific decreased 1.5% in 2022 to $2,826, driven by volume declines of 0.5% and negative foreign exchange of 6.5%, partially offset by net selling price increases of 5.5%.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Organic sales in Asia Pacific increased 5.0% in 2022. Organic sales growth was led by the Greater China region, Australia and the Philippines.</w:t>
      </w:r>
    </w:p>
    <w:p>
      <w:pPr>
        <w:spacing w:after="0" w:line="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4"/>
          <w:szCs w:val="14"/>
          <w:color w:val="auto"/>
        </w:rPr>
        <w:t>The increase in organic sales in 2022 versus 2021 was primarily due to increases in Oral Care and Home Care organic sales. The increase in Oral Care was driven by organic sales growth in the toothpaste and manual toothbrush categories. The increase in Home Care was driven by organic sales growth in the fabric softener and hand dish categories.</w:t>
      </w:r>
    </w:p>
    <w:p>
      <w:pPr>
        <w:spacing w:after="0" w:line="15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Operating profit in Asia Pacific decreased 13% in 2022 to $737, or 330 bps to 26.1% as a percentage of Net sales. This decrease in Operating profit as a percentage of Net sales was due to a decrease in Gross profit (210 bps) and an increase in Selling, general and administrative expenses (120 bps), both as a percentage of Net sales. This decrease in Gross profit was primarily due to higher raw and packaging material costs (770 bps), partially offset by cost savings from the Company’s funding-the-growth initiatives (310 bps) and higher pricing. This increase in Selling, general and administrative expenses was due to increased advertising investment (90 bps) and higher overhead expenses (30 bps), as higher logistics costs (90 bps) were partially offset by overhead efficiencies (60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Africa/Eurasia</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3"/>
        </w:trPr>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49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660" w:type="dxa"/>
            <w:vAlign w:val="bottom"/>
            <w:tcBorders>
              <w:bottom w:val="single" w:sz="8" w:color="auto"/>
            </w:tcBorders>
          </w:tcPr>
          <w:p>
            <w:pPr>
              <w:spacing w:after="0"/>
              <w:rPr>
                <w:sz w:val="18"/>
                <w:szCs w:val="18"/>
                <w:color w:val="auto"/>
              </w:rPr>
            </w:pPr>
          </w:p>
        </w:tc>
      </w:tr>
      <w:tr>
        <w:trPr>
          <w:trHeight w:val="171"/>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1,082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profit</w:t>
            </w:r>
          </w:p>
        </w:tc>
        <w:tc>
          <w:tcPr>
            <w:tcW w:w="9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21.1 %</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19.4 %</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bps</w:t>
            </w: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sales in Africa/Eurasia increased 3.5% in 2022 to $1,082, as net selling price increases of 21.5% were partially offset by volume declines of 9.5% and negative foreign exchange of 8.5%.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Organic sales in Africa/Eurasia increased 12.0% in 2022. Organic sales growth was led by Turkiye and South Africa.</w:t>
      </w:r>
    </w:p>
    <w:p>
      <w:pPr>
        <w:spacing w:after="0" w:line="9" w:lineRule="exact"/>
        <w:rPr>
          <w:sz w:val="20"/>
          <w:szCs w:val="20"/>
          <w:color w:val="auto"/>
        </w:rPr>
      </w:pPr>
    </w:p>
    <w:p>
      <w:pPr>
        <w:ind w:right="240" w:firstLine="255"/>
        <w:spacing w:after="0" w:line="253" w:lineRule="auto"/>
        <w:rPr>
          <w:sz w:val="20"/>
          <w:szCs w:val="20"/>
          <w:color w:val="auto"/>
        </w:rPr>
      </w:pPr>
      <w:r>
        <w:rPr>
          <w:rFonts w:ascii="Times New Roman" w:cs="Times New Roman" w:eastAsia="Times New Roman" w:hAnsi="Times New Roman"/>
          <w:sz w:val="14"/>
          <w:szCs w:val="14"/>
          <w:color w:val="auto"/>
        </w:rPr>
        <w:t>The increase in organic sales in 2022 versus 2021 was primarily due to increases in Oral Care and Personal Care organic sales. The increase in Oral Care was primarily due to organic sales growth in the toothpaste and manual toothbrush categories. The increase in Personal Care was primarily due to organic sales growth in the bar soap category.</w:t>
      </w: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Operating profit in Africa/Eurasia increased 12% in 2022 to $228, or 170 bps to 21.1% as a percentage of Net sales. This increase in Operating profit as a percentage of Net sales was primarily due to an increase in Gross profit (210 bps) as a percentage of Net sales. This increase in Gross profit was primarily due to higher pricing and cost savings from the Company’s funding-the-growth initiatives (230 bps), partially offset by higher raw and packaging material costs (860 bps).</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Hill</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Pet Nutrition</w:t>
            </w: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13"/>
        </w:trPr>
        <w:tc>
          <w:tcPr>
            <w:tcW w:w="1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 Change</w:t>
            </w:r>
          </w:p>
        </w:tc>
      </w:tr>
      <w:tr>
        <w:trPr>
          <w:trHeight w:val="171"/>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3,713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3,311</w:t>
            </w:r>
          </w:p>
        </w:tc>
        <w:tc>
          <w:tcPr>
            <w:tcW w:w="12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12.0 %</w:t>
            </w:r>
          </w:p>
        </w:tc>
      </w:tr>
      <w:tr>
        <w:trPr>
          <w:trHeight w:val="180"/>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profit</w:t>
            </w:r>
          </w:p>
        </w:tc>
        <w:tc>
          <w:tcPr>
            <w:tcW w:w="9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901</w:t>
            </w:r>
          </w:p>
        </w:tc>
        <w:tc>
          <w:tcPr>
            <w:tcW w:w="120" w:type="dxa"/>
            <w:vAlign w:val="bottom"/>
          </w:tcPr>
          <w:p>
            <w:pPr>
              <w:spacing w:after="0"/>
              <w:rPr>
                <w:sz w:val="15"/>
                <w:szCs w:val="15"/>
                <w:color w:val="auto"/>
              </w:rPr>
            </w:pPr>
          </w:p>
        </w:tc>
        <w:tc>
          <w:tcPr>
            <w:tcW w:w="20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(430) bps</w:t>
            </w:r>
          </w:p>
        </w:tc>
      </w:tr>
    </w:tbl>
    <w:p>
      <w:pPr>
        <w:spacing w:after="0" w:line="251"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Net sales for Hill’s Pet Nutrition increased 12.0% in 2022 to $3,713, driven by volume growth of 4.0% and net selling price increases of 11.5%, partially offset by negative foreign exchange of 3.5%. The Company's previously disclosed acquisitions of pet food businesses contributed 2.5% to volume in Hill's. Organic sales in Hill’s Pet Nutrition increased 13.0% in 2022. Organic sales growth was led by the United States and Europe.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increase in organic sales in 2022 versus 2021 was due to organic sales growth in the Science Diet and Prescription Diet categories.</w:t>
      </w:r>
    </w:p>
    <w:p>
      <w:pPr>
        <w:spacing w:after="0" w:line="20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Operating profit in Hill’s Pet Nutrition decreased 6% in 2022 to $850, or 430 bps to 22.9% as a percentage of Net sales. This decrease in Operating profit as a percentage of Net sales was due to a decrease in Gross profit (570 bps), partially offset by a decrease in Selling, general and administrative expenses (150 bps), both as a percentage of Net sales. This decrease in Gross profit was primarily due to higher raw and packaging material costs (840 bps) and unfavorable mix due to private label sales resulting from the previously disclosed acquisitions of pet food businesses (120 bps), partially offset by higher pricing and cost savings from the Company’s funding-the-growth initiatives (80 bps). This decrease in Selling, general and administrative expenses was primarily due to decreased advertising investment (160 bps).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Corporate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13"/>
        </w:trPr>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5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 Change</w:t>
            </w:r>
          </w:p>
        </w:tc>
      </w:tr>
      <w:tr>
        <w:trPr>
          <w:trHeight w:val="171"/>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profit (loss)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40" w:type="dxa"/>
            <w:vAlign w:val="bottom"/>
            <w:shd w:val="clear" w:color="auto" w:fill="CCEEFF"/>
          </w:tcPr>
          <w:p>
            <w:pPr>
              <w:spacing w:after="0"/>
              <w:rPr>
                <w:sz w:val="14"/>
                <w:szCs w:val="14"/>
                <w:color w:val="auto"/>
              </w:rPr>
            </w:pPr>
          </w:p>
        </w:tc>
        <w:tc>
          <w:tcPr>
            <w:tcW w:w="20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23 %</w:t>
            </w:r>
          </w:p>
        </w:tc>
      </w:tr>
    </w:tbl>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Corporate operations include Corporate overhead costs, research and development costs, stock-based compensation expense related to stock options and restricted stock unit awards, restructuring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and related implementation costs and gains and losses on sales of non-core product lines. The components of Operating profit (loss) for the Corporate segment are presented as follows:</w:t>
            </w:r>
          </w:p>
        </w:tc>
        <w:tc>
          <w:tcPr>
            <w:tcW w:w="480" w:type="dxa"/>
            <w:vAlign w:val="bottom"/>
          </w:tcPr>
          <w:p>
            <w:pPr>
              <w:spacing w:after="0"/>
              <w:rPr>
                <w:sz w:val="16"/>
                <w:szCs w:val="16"/>
                <w:color w:val="auto"/>
              </w:rPr>
            </w:pPr>
          </w:p>
        </w:tc>
      </w:tr>
      <w:tr>
        <w:trPr>
          <w:trHeight w:val="188"/>
        </w:trPr>
        <w:tc>
          <w:tcPr>
            <w:tcW w:w="83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80" w:type="dxa"/>
            <w:vAlign w:val="bottom"/>
            <w:tcBorders>
              <w:bottom w:val="single" w:sz="8" w:color="auto"/>
            </w:tcBorders>
          </w:tcPr>
          <w:p>
            <w:pPr>
              <w:spacing w:after="0"/>
              <w:rPr>
                <w:sz w:val="16"/>
                <w:szCs w:val="16"/>
                <w:color w:val="auto"/>
              </w:rPr>
            </w:pPr>
          </w:p>
        </w:tc>
      </w:tr>
      <w:tr>
        <w:trPr>
          <w:trHeight w:val="17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Acquisition-related costs</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Global Productivity Initiative</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the sale of land in Asia Pacific</w:t>
            </w: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Value-added tax matter in Brazil</w:t>
            </w:r>
          </w:p>
        </w:tc>
        <w:tc>
          <w:tcPr>
            <w:tcW w:w="86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impairment charges</w:t>
            </w: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r>
      <w:tr>
        <w:trPr>
          <w:trHeight w:val="18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overhead costs and other, net</w:t>
            </w: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Corporate Operating profit (loss)</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Restructuring and Related Implementation Charges</w:t>
      </w:r>
    </w:p>
    <w:p>
      <w:pPr>
        <w:spacing w:after="0" w:line="191"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On January 27, 2022, the Board approved the 2022 Global Productivity Initiative. The program is intended to reallocate resources towards the Company’s strategic priorities and faster growth businesses, drive efficiencies in the Company’s operations and streamline the Company’s supply chain to reduce structural costs.</w:t>
      </w:r>
    </w:p>
    <w:p>
      <w:pPr>
        <w:spacing w:after="0" w:line="1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Implementation of the 2022 Global Productivity Initiative, which is expected to be substantially completed by mid-year 2024, is estimated to result in cumulative pre-tax charges, once all phases are approved and implemented, in the range of $200 to $240 ($170 to $200 aftertax), which is currently estimated to be comprised of the following: employee-related costs, including severance, pension and other termination benefits (80%); asset-related costs, primarily accelerated depreciation and asset write-downs (10%); and other charges (10%), which include contract termination costs, consisting primarily of implementation-related charges resulting directly from exit activities and the implementation of new strategies. It is estimated that approximately 80% to 90% of the charges will result in cash expenditures. Annualized pre-tax savings are projected to be in the range of $90 to $110 ($70 to $85 aftertax), once all projects are approved and implemented.</w:t>
      </w:r>
    </w:p>
    <w:p>
      <w:pPr>
        <w:spacing w:after="0" w:line="165"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It is expected that the cumulative pretax charges, once all projects are approved and implemented, will relate to initiatives undertaken in North America (5%), Latin America (10%), Europe (45%), Asia Pacific (5%), Africa/Eurasia (10%), Hill’s Pet Nutrition (10%) and Corporate (15%).</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twelve months ended December 31, 2022, charges resulting from the 2022 Global Productivity Initiative are reflected in the income statement as follows:</w:t>
      </w:r>
    </w:p>
    <w:p>
      <w:pPr>
        <w:spacing w:after="0" w:line="28"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64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86"/>
        </w:trPr>
        <w:tc>
          <w:tcPr>
            <w:tcW w:w="64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jc w:val="right"/>
              <w:ind w:right="1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shd w:val="clear" w:color="auto" w:fill="CCEEFF"/>
          </w:tcPr>
          <w:p>
            <w:pPr>
              <w:spacing w:after="0"/>
              <w:rPr>
                <w:sz w:val="14"/>
                <w:szCs w:val="14"/>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0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Non-service related postretirement costs</w:t>
            </w:r>
          </w:p>
        </w:tc>
        <w:tc>
          <w:tcPr>
            <w:tcW w:w="400" w:type="dxa"/>
            <w:vAlign w:val="bottom"/>
            <w:tcBorders>
              <w:bottom w:val="single" w:sz="8" w:color="auto"/>
            </w:tcBorders>
            <w:shd w:val="clear" w:color="auto" w:fill="CCEEFF"/>
          </w:tcPr>
          <w:p>
            <w:pPr>
              <w:spacing w:after="0"/>
              <w:rPr>
                <w:sz w:val="15"/>
                <w:szCs w:val="15"/>
                <w:color w:val="auto"/>
              </w:rPr>
            </w:pP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Total 2022</w:t>
            </w:r>
          </w:p>
        </w:tc>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Global Productivity Initiative charges, pretax</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163"/>
        </w:trPr>
        <w:tc>
          <w:tcPr>
            <w:tcW w:w="640" w:type="dxa"/>
            <w:vAlign w:val="bottom"/>
            <w:shd w:val="clear" w:color="auto" w:fill="CCEEFF"/>
          </w:tcPr>
          <w:p>
            <w:pPr>
              <w:spacing w:after="0"/>
              <w:rPr>
                <w:sz w:val="14"/>
                <w:szCs w:val="14"/>
                <w:color w:val="auto"/>
              </w:rPr>
            </w:pPr>
          </w:p>
        </w:tc>
        <w:tc>
          <w:tcPr>
            <w:tcW w:w="63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spacing w:after="0"/>
              <w:rPr>
                <w:sz w:val="14"/>
                <w:szCs w:val="14"/>
                <w:color w:val="auto"/>
              </w:rPr>
            </w:pPr>
          </w:p>
        </w:tc>
      </w:tr>
      <w:tr>
        <w:trPr>
          <w:trHeight w:val="171"/>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Total 2022</w:t>
            </w:r>
          </w:p>
        </w:tc>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Global Productivity Initiative charges, aftertax</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
        </w:trPr>
        <w:tc>
          <w:tcPr>
            <w:tcW w:w="6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Restructuring and related implementation charges in the preceding table are recorded in the Corporate segment as these initiatives are predominantly centrally directed and controlled and are not included in internal measures of segment operating performance. Total charges incurred for the 2022 Global Productivity Initiative relate to initiatives undertaken by the following reportable operating segments:</w:t>
      </w:r>
    </w:p>
    <w:p>
      <w:pPr>
        <w:spacing w:after="0" w:line="182"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6860" w:type="dxa"/>
            <w:vAlign w:val="bottom"/>
          </w:tcPr>
          <w:p>
            <w:pPr>
              <w:spacing w:after="0"/>
              <w:rPr>
                <w:sz w:val="15"/>
                <w:szCs w:val="15"/>
                <w:color w:val="auto"/>
              </w:rPr>
            </w:pPr>
          </w:p>
        </w:tc>
        <w:tc>
          <w:tcPr>
            <w:tcW w:w="37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86"/>
        </w:trPr>
        <w:tc>
          <w:tcPr>
            <w:tcW w:w="686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tcPr>
          <w:p>
            <w:pPr>
              <w:jc w:val="right"/>
              <w:ind w:right="16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Latin America</w:t>
            </w:r>
          </w:p>
        </w:tc>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Africa/Eurasia</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Hill's Pet Nutrition</w:t>
            </w:r>
          </w:p>
        </w:tc>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7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686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2"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activity for the restructuring and related implementation charges discussed above and the related accruals:</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2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80" w:type="dxa"/>
            <w:vAlign w:val="bottom"/>
            <w:gridSpan w:val="6"/>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Employee-Related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Incremental</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0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15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0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540" w:type="dxa"/>
            <w:vAlign w:val="bottom"/>
            <w:tcBorders>
              <w:top w:val="single" w:sz="8" w:color="auto"/>
            </w:tcBorders>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w:t>
            </w:r>
          </w:p>
        </w:tc>
        <w:tc>
          <w:tcPr>
            <w:tcW w:w="15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 against assets</w:t>
            </w:r>
          </w:p>
        </w:tc>
        <w:tc>
          <w:tcPr>
            <w:tcW w:w="15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540" w:type="dxa"/>
            <w:vAlign w:val="bottom"/>
            <w:tcBorders>
              <w:top w:val="single" w:sz="8" w:color="auto"/>
              <w:bottom w:val="single" w:sz="8" w:color="auto"/>
            </w:tcBorders>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Employee-Related Costs primarily include severance and other termination benefits and are calculated based on long-standing benefit practices, written severance policies, local statutory requirements and, in certain cases, voluntary termination arrangements. Employee-Related Costs also include pension enhancements of $15 for the twelve months ended December 31, 2022, which are reflected as Charges against assets within Employee-Related Costs in the preceding tables as the corresponding balance sheet amounts are reflected as a reduction of pension assets or an increase in pension liabilities.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202"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4"/>
          <w:szCs w:val="14"/>
          <w:color w:val="auto"/>
        </w:rPr>
        <w:t>This Annual Report on Form 10-K discusses certain financial measures on both a GAAP and a non-GAAP basis. The Company uses the non-GAAP financial measures described below internally in its budgeting process, to evaluate segment and overall operating performance and as a factor in determining compensation. The Company believes that these non-GAAP financial measures are useful in evaluating the Company’s underlying business performance and trends; however, this information should be considered as supplemental in nature and is not meant to be considered in isolation or as a substitute for the related financial information prepared in accordance with GAAP. In addition, these non-GAAP financial measures may not be the same as similar measures presented by other companies.</w:t>
      </w:r>
    </w:p>
    <w:p>
      <w:pPr>
        <w:spacing w:after="0" w:line="164"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Net sales growth (GAAP) and organic sales growth (Net sales growth excluding the impact of foreign exchange, acquisitions and divestments) (non-GAAP) are discussed in this Annual Report on Form 10-K. Management believes the organic sales growth measure provides investors and analysts with useful supplemental information regarding the Company’s underlying sales trends by presenting sales growth excluding, the external factor of foreign exchange, as well as the impact of acquisitions and divestments, as applicable. A reconciliation of organic sales growth to Net sales growth for the years ended December 31, 2022 and 2021 is provided below.</w:t>
      </w:r>
    </w:p>
    <w:p>
      <w:pPr>
        <w:spacing w:after="0" w:line="162"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4"/>
          <w:szCs w:val="14"/>
          <w:color w:val="auto"/>
        </w:rPr>
        <w:t>Selling, general and administrative expenses, Other (income) expense, net, Operating profit, Operating profit margin, Non-service related postretirement costs, Interest (income) expense, net, effective income tax rate, Net income attributable to Colgate-Palmolive Company and Earnings per share on a diluted basis are discussed in this Annual Report on Form 10-K both on a GAAP basis and excluding, as applicable, charges resulting from the 2022 Global Productivity Initiative, goodwill and intangible assets impairment charges, a gain on the sale of land in Asia Pacific, acquisition-related costs, a loss on the early extinguishment of debt and a benefit related to a value-added tax matter in Brazil. These non-GAAP financial measures exclude items that, either by their nature or amount, management would not expect to occur as part of the Company’s normal business on a regular basis, such as restructuring charges, charges for certain litigation and tax matters, acquisition-related costs, gains and losses from certain divestitures and certain other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A reconciliation of each of these non-GAAP financial measures to the most directly comparable GAAP financial measures for the years ended December 31, 2022 and 2021 is presented within the applicable section of Results of Operations.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2"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provide a quantitative reconciliation of Net sales growth to organic sales growth for the years ended December 31, 2022 and 2021 versus the prior year: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620" w:type="dxa"/>
            <w:vAlign w:val="bottom"/>
            <w:vMerge w:val="restart"/>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Net Sales Growth</w:t>
            </w:r>
          </w:p>
        </w:tc>
        <w:tc>
          <w:tcPr>
            <w:tcW w:w="146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 and Divestments</w:t>
            </w: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38"/>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620" w:type="dxa"/>
            <w:vAlign w:val="bottom"/>
            <w:vMerge w:val="continue"/>
          </w:tcPr>
          <w:p>
            <w:pPr>
              <w:spacing w:after="0"/>
              <w:rPr>
                <w:sz w:val="11"/>
                <w:szCs w:val="11"/>
                <w:color w:val="auto"/>
              </w:rPr>
            </w:pPr>
          </w:p>
        </w:tc>
        <w:tc>
          <w:tcPr>
            <w:tcW w:w="1460" w:type="dxa"/>
            <w:vAlign w:val="bottom"/>
          </w:tcPr>
          <w:p>
            <w:pPr>
              <w:jc w:val="center"/>
              <w:ind w:left="109"/>
              <w:spacing w:after="0" w:line="138"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420" w:type="dxa"/>
            <w:vAlign w:val="bottom"/>
            <w:vMerge w:val="continue"/>
          </w:tcPr>
          <w:p>
            <w:pPr>
              <w:spacing w:after="0"/>
              <w:rPr>
                <w:sz w:val="11"/>
                <w:szCs w:val="11"/>
                <w:color w:val="auto"/>
              </w:rPr>
            </w:pPr>
          </w:p>
        </w:tc>
        <w:tc>
          <w:tcPr>
            <w:tcW w:w="1660" w:type="dxa"/>
            <w:vAlign w:val="bottom"/>
          </w:tcPr>
          <w:p>
            <w:pPr>
              <w:jc w:val="center"/>
              <w:ind w:right="169"/>
              <w:spacing w:after="0" w:line="138" w:lineRule="exact"/>
              <w:rPr>
                <w:sz w:val="20"/>
                <w:szCs w:val="20"/>
                <w:color w:val="auto"/>
              </w:rPr>
            </w:pPr>
            <w:r>
              <w:rPr>
                <w:rFonts w:ascii="Times New Roman" w:cs="Times New Roman" w:eastAsia="Times New Roman" w:hAnsi="Times New Roman"/>
                <w:sz w:val="14"/>
                <w:szCs w:val="14"/>
                <w:b w:val="1"/>
                <w:bCs w:val="1"/>
                <w:color w:val="auto"/>
              </w:rPr>
              <w:t>Sales Growth</w:t>
            </w:r>
          </w:p>
        </w:tc>
        <w:tc>
          <w:tcPr>
            <w:tcW w:w="0" w:type="dxa"/>
            <w:vAlign w:val="bottom"/>
          </w:tcPr>
          <w:p>
            <w:pPr>
              <w:spacing w:after="0"/>
              <w:rPr>
                <w:sz w:val="1"/>
                <w:szCs w:val="1"/>
                <w:color w:val="auto"/>
              </w:rPr>
            </w:pPr>
          </w:p>
        </w:tc>
      </w:tr>
      <w:tr>
        <w:trPr>
          <w:trHeight w:val="191"/>
        </w:trPr>
        <w:tc>
          <w:tcPr>
            <w:tcW w:w="312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w w:val="97"/>
              </w:rPr>
              <w:t>(GAAP)</w:t>
            </w:r>
          </w:p>
        </w:tc>
        <w:tc>
          <w:tcPr>
            <w:tcW w:w="146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66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(Non-GAAP)</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26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North America</w:t>
            </w:r>
          </w:p>
        </w:tc>
        <w:tc>
          <w:tcPr>
            <w:tcW w:w="262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5"/>
              </w:rPr>
              <w:t>3.5%</w:t>
            </w:r>
          </w:p>
        </w:tc>
        <w:tc>
          <w:tcPr>
            <w:tcW w:w="146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262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5"/>
              </w:rPr>
              <w:t>8.5%</w:t>
            </w:r>
          </w:p>
        </w:tc>
        <w:tc>
          <w:tcPr>
            <w:tcW w:w="146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(2.0)%</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Europe</w:t>
            </w:r>
          </w:p>
        </w:tc>
        <w:tc>
          <w:tcPr>
            <w:tcW w:w="262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(10.5)%</w:t>
            </w:r>
          </w:p>
        </w:tc>
        <w:tc>
          <w:tcPr>
            <w:tcW w:w="146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(10.5)%</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262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rPr>
              <w:t>(1.5)%</w:t>
            </w:r>
          </w:p>
        </w:tc>
        <w:tc>
          <w:tcPr>
            <w:tcW w:w="146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(6.5)%</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Africa/Eurasia</w:t>
            </w:r>
          </w:p>
        </w:tc>
        <w:tc>
          <w:tcPr>
            <w:tcW w:w="262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5"/>
              </w:rPr>
              <w:t>3.5%</w:t>
            </w:r>
          </w:p>
        </w:tc>
        <w:tc>
          <w:tcPr>
            <w:tcW w:w="146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rPr>
              <w:t>(8.5)%</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262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5"/>
              </w:rPr>
              <w:t>1.0%</w:t>
            </w:r>
          </w:p>
        </w:tc>
        <w:tc>
          <w:tcPr>
            <w:tcW w:w="146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(4.5)%</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Pet Nutrition</w:t>
            </w:r>
          </w:p>
        </w:tc>
        <w:tc>
          <w:tcPr>
            <w:tcW w:w="262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12.0%</w:t>
            </w:r>
          </w:p>
        </w:tc>
        <w:tc>
          <w:tcPr>
            <w:tcW w:w="146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rPr>
              <w:t>(3.5)%</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66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262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5"/>
              </w:rPr>
              <w:t>3.0%</w:t>
            </w:r>
          </w:p>
        </w:tc>
        <w:tc>
          <w:tcPr>
            <w:tcW w:w="1460" w:type="dxa"/>
            <w:vAlign w:val="bottom"/>
            <w:tcBorders>
              <w:bottom w:val="single" w:sz="8" w:color="auto"/>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(4.5)%</w:t>
            </w:r>
          </w:p>
        </w:tc>
        <w:tc>
          <w:tcPr>
            <w:tcW w:w="2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660" w:type="dxa"/>
            <w:vAlign w:val="bottom"/>
            <w:tcBorders>
              <w:bottom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620" w:type="dxa"/>
            <w:vAlign w:val="bottom"/>
            <w:vMerge w:val="restart"/>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Net Sales Growth</w:t>
            </w:r>
          </w:p>
        </w:tc>
        <w:tc>
          <w:tcPr>
            <w:tcW w:w="146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 and Divestments</w:t>
            </w: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38"/>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620" w:type="dxa"/>
            <w:vAlign w:val="bottom"/>
            <w:vMerge w:val="continue"/>
          </w:tcPr>
          <w:p>
            <w:pPr>
              <w:spacing w:after="0"/>
              <w:rPr>
                <w:sz w:val="11"/>
                <w:szCs w:val="11"/>
                <w:color w:val="auto"/>
              </w:rPr>
            </w:pPr>
          </w:p>
        </w:tc>
        <w:tc>
          <w:tcPr>
            <w:tcW w:w="1460" w:type="dxa"/>
            <w:vAlign w:val="bottom"/>
          </w:tcPr>
          <w:p>
            <w:pPr>
              <w:jc w:val="center"/>
              <w:ind w:left="109"/>
              <w:spacing w:after="0" w:line="138"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420" w:type="dxa"/>
            <w:vAlign w:val="bottom"/>
            <w:vMerge w:val="continue"/>
          </w:tcPr>
          <w:p>
            <w:pPr>
              <w:spacing w:after="0"/>
              <w:rPr>
                <w:sz w:val="11"/>
                <w:szCs w:val="11"/>
                <w:color w:val="auto"/>
              </w:rPr>
            </w:pPr>
          </w:p>
        </w:tc>
        <w:tc>
          <w:tcPr>
            <w:tcW w:w="1660" w:type="dxa"/>
            <w:vAlign w:val="bottom"/>
          </w:tcPr>
          <w:p>
            <w:pPr>
              <w:jc w:val="center"/>
              <w:ind w:right="169"/>
              <w:spacing w:after="0" w:line="138" w:lineRule="exact"/>
              <w:rPr>
                <w:sz w:val="20"/>
                <w:szCs w:val="20"/>
                <w:color w:val="auto"/>
              </w:rPr>
            </w:pPr>
            <w:r>
              <w:rPr>
                <w:rFonts w:ascii="Times New Roman" w:cs="Times New Roman" w:eastAsia="Times New Roman" w:hAnsi="Times New Roman"/>
                <w:sz w:val="14"/>
                <w:szCs w:val="14"/>
                <w:b w:val="1"/>
                <w:bCs w:val="1"/>
                <w:color w:val="auto"/>
              </w:rPr>
              <w:t>Sales Growth</w:t>
            </w:r>
          </w:p>
        </w:tc>
        <w:tc>
          <w:tcPr>
            <w:tcW w:w="0" w:type="dxa"/>
            <w:vAlign w:val="bottom"/>
          </w:tcPr>
          <w:p>
            <w:pPr>
              <w:spacing w:after="0"/>
              <w:rPr>
                <w:sz w:val="1"/>
                <w:szCs w:val="1"/>
                <w:color w:val="auto"/>
              </w:rPr>
            </w:pPr>
          </w:p>
        </w:tc>
      </w:tr>
      <w:tr>
        <w:trPr>
          <w:trHeight w:val="191"/>
        </w:trPr>
        <w:tc>
          <w:tcPr>
            <w:tcW w:w="312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w w:val="97"/>
              </w:rPr>
              <w:t>(GAAP)</w:t>
            </w:r>
          </w:p>
        </w:tc>
        <w:tc>
          <w:tcPr>
            <w:tcW w:w="146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66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(Non-GAAP)</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26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North America</w:t>
            </w:r>
          </w:p>
        </w:tc>
        <w:tc>
          <w:tcPr>
            <w:tcW w:w="262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(1.0)%</w:t>
            </w:r>
          </w:p>
        </w:tc>
        <w:tc>
          <w:tcPr>
            <w:tcW w:w="14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8"/>
              </w:rPr>
              <w:t>(2.0)%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262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5"/>
              </w:rPr>
              <w:t>7.0%</w:t>
            </w:r>
          </w:p>
        </w:tc>
        <w:tc>
          <w:tcPr>
            <w:tcW w:w="14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(1.0)%</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Europe</w:t>
            </w:r>
          </w:p>
        </w:tc>
        <w:tc>
          <w:tcPr>
            <w:tcW w:w="262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5"/>
              </w:rPr>
              <w:t>3.5%</w:t>
            </w:r>
          </w:p>
        </w:tc>
        <w:tc>
          <w:tcPr>
            <w:tcW w:w="14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4.0%</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8"/>
              </w:rPr>
              <w:t>(0.5)%</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262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5"/>
              </w:rPr>
              <w:t>6.0%</w:t>
            </w:r>
          </w:p>
        </w:tc>
        <w:tc>
          <w:tcPr>
            <w:tcW w:w="14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3.0%</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Africa/Eurasia</w:t>
            </w:r>
          </w:p>
        </w:tc>
        <w:tc>
          <w:tcPr>
            <w:tcW w:w="262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5"/>
              </w:rPr>
              <w:t>6.5%</w:t>
            </w:r>
          </w:p>
        </w:tc>
        <w:tc>
          <w:tcPr>
            <w:tcW w:w="14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(0.5)%</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262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5"/>
              </w:rPr>
              <w:t>4.0%</w:t>
            </w:r>
          </w:p>
        </w:tc>
        <w:tc>
          <w:tcPr>
            <w:tcW w:w="14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1.5%</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Pet Nutrition</w:t>
            </w:r>
          </w:p>
        </w:tc>
        <w:tc>
          <w:tcPr>
            <w:tcW w:w="262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15.0%</w:t>
            </w:r>
          </w:p>
        </w:tc>
        <w:tc>
          <w:tcPr>
            <w:tcW w:w="14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1.5%</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262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5"/>
              </w:rPr>
              <w:t>6.0%</w:t>
            </w:r>
          </w:p>
        </w:tc>
        <w:tc>
          <w:tcPr>
            <w:tcW w:w="146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1.5%</w:t>
            </w:r>
          </w:p>
        </w:tc>
        <w:tc>
          <w:tcPr>
            <w:tcW w:w="2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Share Information</w:t>
      </w:r>
    </w:p>
    <w:p>
      <w:pPr>
        <w:spacing w:after="0" w:line="20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Management uses market share information as a key indicator to monitor business health and performance. References to market share in this Annual Report on Form 10-K are based on a combination of consumption and market share data provided by third-party vendors, primarily Nielsen, and internal estimates. All market share references represent the percentage of the dollar value of sales of our products, relative to all product sales in the category in the countries in which the Company competes and purchases data (excluding Venezuela from all periods).</w:t>
      </w:r>
    </w:p>
    <w:p>
      <w:pPr>
        <w:spacing w:after="0" w:line="136"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4"/>
          <w:szCs w:val="14"/>
          <w:color w:val="auto"/>
        </w:rPr>
        <w:t>Market share data is subject to limitations on the availability of up-to-date information. In particular, market share data is currently not generally available for certain retail channels, such as eCommerce or certain discounters. The Company measures year-to-date market shares from January 1 of the relevant year through the most recent period for which market share data is available, which typically reflects a lag time of one or two months. The Company believes that the third-party vendors we use to provide data are reliable, but we have not verified the accuracy or completeness of the data or any assumptions underlying the data. In addition, market share information calculated by the Company may be different from market share information calculated by other companies due to differences in category definitions, the use of data from different countries, internal estimates and other factors.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Company expects cash flow from operations and debt issuances will be sufficient to meet foreseeable business operating and recurring cash needs (including for debt service, dividends, capital expenditures, share repurchases and acquisitions). The Company believes its strong cash generation and financial position should continue to allow it broad access to global credit and capital markets.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Net cash provided by operations decreased to $2,556 in 2022 as compared to $3,325 in 2021, primarily due to changes in working capital and lower net income. The Company’s working capital as a percentage of Net sales was 1.0% in 2022 and (2.7)% in 2021. This change in working capital as a percentage of Net sales is primarily due to higher inventory (driven by higher raw and packaging material costs and increased levels to mitigate the risk of supply chain and logistics disruptions), higher accounts receivable, and lower accounts payable and accruals. The Company defines working capital as the difference between current assets (excluding Cash and cash equivalents and marketable securities, the latter of which is reported in Other current assets) and current liabilities (excluding short-term debt).</w:t>
      </w:r>
    </w:p>
    <w:p>
      <w:pPr>
        <w:spacing w:after="0" w:line="164"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Investing activities used $1,601 of cash in 2022 compared to $592 during 2021. Investing activities in 2022 included the Company’s acquisition of businesses from Red Collar Pet Foods and Nutriamo discussed in Note 3, Acquisitions to the Consolidated Financial Statements.</w:t>
      </w:r>
    </w:p>
    <w:p>
      <w:pPr>
        <w:spacing w:after="0" w:line="145" w:lineRule="exact"/>
        <w:rPr>
          <w:sz w:val="20"/>
          <w:szCs w:val="20"/>
          <w:color w:val="auto"/>
        </w:rPr>
      </w:pPr>
    </w:p>
    <w:p>
      <w:pPr>
        <w:ind w:right="380" w:firstLine="255"/>
        <w:spacing w:after="0" w:line="270" w:lineRule="auto"/>
        <w:rPr>
          <w:sz w:val="20"/>
          <w:szCs w:val="20"/>
          <w:color w:val="auto"/>
        </w:rPr>
      </w:pPr>
      <w:r>
        <w:rPr>
          <w:rFonts w:ascii="Times New Roman" w:cs="Times New Roman" w:eastAsia="Times New Roman" w:hAnsi="Times New Roman"/>
          <w:sz w:val="14"/>
          <w:szCs w:val="14"/>
          <w:color w:val="auto"/>
        </w:rPr>
        <w:t>Capital expenditures in the year ended December 31, 2022 were $696, an increase from $567 in 2021. Capital expenditures increased in 2022 primarily due to capacity expansion of manufacturing facilities and sustainability projects. Capital expenditures for 2023 are expected to be approximately 4.0% of Net sales. The Company continues to focus its capital spending on projects that are expected to yield high aftertax returns.</w:t>
      </w:r>
    </w:p>
    <w:p>
      <w:pPr>
        <w:spacing w:after="0" w:line="157"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Financing activities used $952 of cash during 2022 compared to $2,774 during 2021. The decrease in cash used was primarily due to an increase in the proceeds from debt issuances in 2022 to fund acquisitions as compared to 2021.</w:t>
      </w:r>
    </w:p>
    <w:p>
      <w:pPr>
        <w:spacing w:after="0" w:line="145"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Long-term debt, including the current portion, increased to $8,755 as of December 31, 2022, as compared to $7,206 as of December 31, 2021, and total debt increased to $8,766 as of December 31, 2022 as compared to $7,245 as of December 31, 2021. The Company’s debt issuances and redemptions support the Company’s capital structure objectives of funding its business and growth initiatives while minimizing its risk-adjusted cost of capital.</w:t>
      </w:r>
    </w:p>
    <w:p>
      <w:pPr>
        <w:spacing w:after="0" w:line="146" w:lineRule="exact"/>
        <w:rPr>
          <w:sz w:val="20"/>
          <w:szCs w:val="20"/>
          <w:color w:val="auto"/>
        </w:rPr>
      </w:pPr>
    </w:p>
    <w:p>
      <w:pPr>
        <w:ind w:right="200" w:firstLine="255"/>
        <w:spacing w:after="0" w:line="271" w:lineRule="auto"/>
        <w:rPr>
          <w:sz w:val="20"/>
          <w:szCs w:val="20"/>
          <w:color w:val="auto"/>
        </w:rPr>
      </w:pPr>
      <w:r>
        <w:rPr>
          <w:rFonts w:ascii="Times New Roman" w:cs="Times New Roman" w:eastAsia="Times New Roman" w:hAnsi="Times New Roman"/>
          <w:sz w:val="14"/>
          <w:szCs w:val="14"/>
          <w:color w:val="auto"/>
        </w:rPr>
        <w:t>During the third quarter of 2022, the Company issued $500 of three-year Senior Notes at a fixed coupon rate of 3.100%, $500 of five-year Senior Notes at a fixed coupon rate of 3.100% and $500 of ten-year Senior Notes at a fixed coupon rate of 3.250%. The debt issuances were under the Company’s shelf registration statement.</w:t>
      </w:r>
    </w:p>
    <w:p>
      <w:pPr>
        <w:spacing w:after="0" w:line="156"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During the fourth quarter of 2021, the Company issued €500 of eight-year notes at a fixed coupon rate of 0.300% (the “Sustainability Bond”). The debt issuance was under the Company’s shelf registration statement. An amount equal to the net proceeds of the Sustainability Bond was allocated to finance or refinance, in part or in full, new and existing projects and programs with distinct environmental or social benefits pursuant to the Company’s Sustainable Financing Framework during the period from January 1, 2020 through July 31, 2022.</w:t>
      </w:r>
    </w:p>
    <w:p>
      <w:pPr>
        <w:spacing w:after="0" w:line="152"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During the fourth quarter of 2021, the Company redeemed prior to maturity all of its outstanding 0.000% notes due 2021 with a principal amount of €500, originally issued on November 12, 2019. The redemption was financed with commercial paper borrowings. The redemption price was equal to the carrying amount of the debt extinguished.</w:t>
      </w:r>
    </w:p>
    <w:p>
      <w:pPr>
        <w:spacing w:after="0" w:line="145"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In 1990, the Company’s Canadian subsidiary (“CP Canada”), issued C$145 of Canadian dollar-denominated unsecured unsubordinated 12.85% guaranteed notes due October 4, 2030 (the “Canada notes”). During the third quarter of 2021, CP Canada redeemed the Canada notes and recorded a loss on the early extinguishment of debt of $75, which is included in Interest (income) expense, net in the Consolidated Statements of Income, representing the difference between the redemption price and the carrying amount of the debt extinguished.</w:t>
      </w:r>
    </w:p>
    <w:p>
      <w:pPr>
        <w:spacing w:after="0" w:line="157"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At December 31, 2022, the Company had access to unused domestic and foreign lines of credit of $3,401 (including under the facility discussed below) and could also issue long-term debt pursuant to an effective shelf registration statement.</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2"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In November 2022, the Company entered into an amended and restated $3,000 five-year revolving credit facility with a syndicate of banks for a five-year term expiring November 2027, which replaced, on substantially similar terms, the Company's $3,000 revolving credit facility that was scheduled to expire in August 2026. Commitment fees related to the credit facility were not material.</w:t>
      </w:r>
    </w:p>
    <w:p>
      <w:pPr>
        <w:spacing w:after="0" w:line="145"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Domestic and foreign commercial paper outstanding was $1,778 and $1,204 as of December 31, 2022 and December 31, 2021, respectively. The average daily balances outstanding of commercial paper in 2022 and 2021 were $1,858 and $2,052, respectively. The Company classifies commercial paper and certain current maturities of notes payable as long-term debt when it has the intent and ability to refinance such obligations on a long-term basis, including, if necessary, by utilizing its available lines of credit (under the facilities discussed above).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the Company’s commercial paper as of December 31, 2022 and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29"/>
        </w:trPr>
        <w:tc>
          <w:tcPr>
            <w:tcW w:w="3040" w:type="dxa"/>
            <w:vAlign w:val="bottom"/>
          </w:tcPr>
          <w:p>
            <w:pPr>
              <w:spacing w:after="0"/>
              <w:rPr>
                <w:sz w:val="11"/>
                <w:szCs w:val="11"/>
                <w:color w:val="auto"/>
              </w:rPr>
            </w:pP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8"/>
              </w:rPr>
              <w:t>Weighted Average</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8"/>
              </w:rPr>
              <w:t>Weighted Average</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91"/>
        </w:trPr>
        <w:tc>
          <w:tcPr>
            <w:tcW w:w="304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Interest Rate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Maturities</w:t>
            </w:r>
          </w:p>
        </w:tc>
        <w:tc>
          <w:tcPr>
            <w:tcW w:w="13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 Rate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Maturities</w:t>
            </w:r>
          </w:p>
        </w:tc>
        <w:tc>
          <w:tcPr>
            <w:tcW w:w="13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Outstanding</w:t>
            </w:r>
          </w:p>
        </w:tc>
      </w:tr>
      <w:tr>
        <w:trPr>
          <w:trHeight w:val="171"/>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r>
    </w:tbl>
    <w:p>
      <w:pPr>
        <w:spacing w:after="0" w:line="144"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Certain of the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 and believes the likelihood of noncompliance is remote. Refer to Note 6, Long-Term Debt and Credit Facilities to the Consolidated Financial Statements for further information about the Company’s long-term debt and credit facilities.</w:t>
      </w:r>
    </w:p>
    <w:p>
      <w:pPr>
        <w:spacing w:after="0" w:line="157"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Dividend payments in 2022 were $1,691, an increase from $1,679 in 2021. Dividend payments increased to $1.86 per share in 2022 from $1.79 per share in 2021. In the first quarter of 2022, the Company increased the quarterly common stock dividend to $0.47 per share from $0.45 per share, effective in the second quarter of 2022.</w:t>
      </w:r>
    </w:p>
    <w:p>
      <w:pPr>
        <w:spacing w:after="0" w:line="14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Company repurchases shares of its common stock in the open market and in private transactions to maintain its targeted capital structure and to fulfill certain requirements of its compensation and benefit plans. On March 10, 2022, the Board authorized the repurchase of shares of the Company’s common stock having an aggregate purchase price of up to $5 billion under a new share repurchase program (the “2022 Program”), which replaced a previously authorized share repurchase program (the “2018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w:t>
      </w:r>
    </w:p>
    <w:p>
      <w:pPr>
        <w:spacing w:after="0" w:line="164"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Aggregate share repurchases in 2022 consisted of approximately 13.4 million common shares under the 2022 Program, 3.4 million common shares under the 2018 Program and 0.3 million common shares to fulfill the requirements of compensation and benefit plans, for a total purchase price of $1,308. Aggregate repurchases in 2021 consisted of approximately 16.4 million common shares under the 2018 Program and 0.3 million common shares to fulfill the requirements of compensation and benefit plans, for a total purchase price of $1,320. Share repurchases net of proceeds from exercise of stock options were $890 and $896 in 2022 and 2021, respectively.</w:t>
      </w:r>
    </w:p>
    <w:p>
      <w:pPr>
        <w:spacing w:after="0" w:line="162"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Cash and cash equivalents decreased $57 during 2022 to $775 at December 31, 2022, compared to $832 at December 31, 2021. Cash and cash equivalents held by the Company’s foreign subsidiaries was $735 and $784, respectively, at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67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following represents the scheduled maturities of the Company’s contractual obligations as of December 31, 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2"/>
        </w:trPr>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7"/>
                <w:szCs w:val="17"/>
                <w:color w:val="auto"/>
              </w:rPr>
            </w:pPr>
          </w:p>
        </w:tc>
        <w:tc>
          <w:tcPr>
            <w:tcW w:w="6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Thereafter</w:t>
            </w:r>
          </w:p>
        </w:tc>
      </w:tr>
      <w:tr>
        <w:trPr>
          <w:trHeight w:val="171"/>
        </w:trPr>
        <w:tc>
          <w:tcPr>
            <w:tcW w:w="456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Long-term debt including current portion</w:t>
            </w:r>
            <w:r>
              <w:rPr>
                <w:rFonts w:ascii="Times New Roman" w:cs="Times New Roman" w:eastAsia="Times New Roman" w:hAnsi="Times New Roman"/>
                <w:sz w:val="18"/>
                <w:szCs w:val="18"/>
                <w:color w:val="auto"/>
                <w:vertAlign w:val="superscript"/>
              </w:rPr>
              <w:t>(1)</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w:t>
            </w:r>
          </w:p>
        </w:tc>
      </w:tr>
      <w:tr>
        <w:trPr>
          <w:trHeight w:val="180"/>
        </w:trPr>
        <w:tc>
          <w:tcPr>
            <w:tcW w:w="45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Net cash interest payments on long-term debt</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0"/>
        </w:trPr>
        <w:tc>
          <w:tcPr>
            <w:tcW w:w="45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Purchase obligations</w:t>
            </w:r>
            <w:r>
              <w:rPr>
                <w:rFonts w:ascii="Times New Roman" w:cs="Times New Roman" w:eastAsia="Times New Roman" w:hAnsi="Times New Roman"/>
                <w:sz w:val="18"/>
                <w:szCs w:val="18"/>
                <w:color w:val="auto"/>
                <w:vertAlign w:val="superscript"/>
              </w:rPr>
              <w:t>(3)</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tax reform payments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5,571</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w:t>
      </w:r>
    </w:p>
    <w:p>
      <w:pPr>
        <w:spacing w:after="0" w:line="13" w:lineRule="exact"/>
        <w:rPr>
          <w:sz w:val="20"/>
          <w:szCs w:val="20"/>
          <w:color w:val="auto"/>
        </w:rPr>
      </w:pPr>
    </w:p>
    <w:p>
      <w:pPr>
        <w:ind w:left="260" w:right="100" w:hanging="255"/>
        <w:spacing w:after="0" w:line="215" w:lineRule="auto"/>
        <w:tabs>
          <w:tab w:leader="none" w:pos="25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 classifies commercial paper and notes maturing within the next twelve months as long-term debt when it has the intent and ability to refinance such obligations on a long-term basis. The amounts in this table exclude commercial paper.</w:t>
      </w:r>
    </w:p>
    <w:p>
      <w:pPr>
        <w:spacing w:after="0" w:line="1" w:lineRule="exact"/>
        <w:rPr>
          <w:rFonts w:ascii="Times New Roman" w:cs="Times New Roman" w:eastAsia="Times New Roman" w:hAnsi="Times New Roman"/>
          <w:sz w:val="17"/>
          <w:szCs w:val="17"/>
          <w:color w:val="auto"/>
          <w:vertAlign w:val="superscript"/>
        </w:rPr>
      </w:pPr>
    </w:p>
    <w:p>
      <w:pPr>
        <w:ind w:left="260" w:right="100" w:hanging="255"/>
        <w:spacing w:after="0" w:line="214" w:lineRule="auto"/>
        <w:tabs>
          <w:tab w:leader="none" w:pos="25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net interest payments on fixed and variable rate debt. Interest payments associated with floating rate instruments are based on management’s best estimate of projected interest rates for the remaining term of variable rate debt.</w:t>
      </w:r>
    </w:p>
    <w:p>
      <w:pPr>
        <w:ind w:left="260" w:right="120" w:hanging="255"/>
        <w:spacing w:after="0" w:line="222" w:lineRule="auto"/>
        <w:tabs>
          <w:tab w:leader="none" w:pos="25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 had outstanding contractual obligations with suppliers at the end of 2022 for the purchase of raw, packaging and other materials and services in the normal course of business. These purchase obligation amounts represent only those items which are based on agreements that are legally binding and that specify all significant terms including minimum quantity, price and term and do not represent total anticipated purchases.</w:t>
      </w:r>
    </w:p>
    <w:p>
      <w:pPr>
        <w:spacing w:after="0" w:line="17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Long-term liabilities associated with the Company’s postretirement plans are excluded from the table above due to the uncertainty of the timing of these cash disbursements. The amount and timing of cash funding related to these benefit plans will generally depend on local regulatory requirements, various economic assumptions (the most significant of which are detailed in “Critical Accounting Policies and Use of Estimates” below) and voluntary Company contributions. Based on current information, the Company is not required to make a mandatory contribution to its qualified U.S. pension plan in 2023. The Company does not expect to make any voluntary contributions to its U.S. postretirement plans in 2023. In addition, total benefit payments expected to be paid from the Company’s assets to participants in unfunded plans are estimated to be approximately $86 for the year ending December 31, 2023.</w:t>
      </w:r>
    </w:p>
    <w:p>
      <w:pPr>
        <w:spacing w:after="0" w:line="164"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Additionally, liabilities for unrecognized income tax benefits are excluded from the table above as the Company is unable to reasonably predict the ultimate amount or timing of a settlement of such liabilities. See Note 11, Income Taxes to the Consolidated Financial Statements for more information.</w:t>
      </w:r>
    </w:p>
    <w:p>
      <w:pPr>
        <w:spacing w:after="0" w:line="145"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As more fully described in Note 13, Commitments and Contingencies to the Consolidated Financial Statements, the Company has commitments and contingencies with respect to lawsuits, environmental matters, taxes and other matters arising in the ordinary course of business.</w:t>
      </w: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2"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does not have off-balance sheet financing or unconsolidated special purpose entities.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Managing Foreign Currency, Interest Rate, Commodity Price and Credit Risk Exposure</w:t>
      </w:r>
    </w:p>
    <w:p>
      <w:pPr>
        <w:spacing w:after="0" w:line="20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Company is exposed to market risk from foreign currency exchange rates, interest rates and commodity price fluctuations. Volatility relating to these exposures is managed on a global basis by utilizing a number of techniques, including working capital management, selling price increases, selective borrowings in local currencies and entering into selective derivative instrument transactions, issued with standard features, in accordance with the Company’s treasury and risk management policies. The Company’s treasury and risk management policies prohibit the use of derivatives for speculative purposes and leveraged derivatives for any purpose.</w:t>
      </w:r>
    </w:p>
    <w:p>
      <w:pPr>
        <w:spacing w:after="0" w:line="162"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The sensitivity of our financial instruments to market fluctuations is discussed below. See Note 2, Summary of Significant Accounting Policies and Note 7, Fair Value Measurements and Financial Instruments to the Consolidated Financial Statements for further discussion of derivatives and hedging policies and fair value measurements.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Exchange Risk</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As the Company markets its products in over 200 countries and territories, it is exposed to currency fluctuations related to manufacturing and selling its products in currencies other than the U.S. dollar. The Company manages its foreign currency exposures through a combination of cost-containment measures, sourcing strategies, selling price increases and the hedging of certain costs in an effort to minimize the impact on earnings of foreign currency rate movements. See “Results of Operations” above for a discussion of the foreign exchange impact on Net sales in each operating segment.</w:t>
      </w:r>
    </w:p>
    <w:p>
      <w:pPr>
        <w:spacing w:after="0" w:line="162"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The assets and liabilities of foreign subsidiaries are translated into U.S. dollars at year-end exchange rates with resulting translation gains and losses accumulated in a separate component of shareholders’ equity. Income and expense items are translated into U.S. dollars at average rates of exchange prevailing during the year.</w:t>
      </w:r>
    </w:p>
    <w:p>
      <w:pPr>
        <w:spacing w:after="0" w:line="145"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Company primarily utilizes foreign currency contracts, including forward and swap contracts, option contracts, foreign and local currency deposits and local currency borrowings to hedge portions of its exposures relating to foreign currency purchases, assets and liabilities created in the normal course of business and the net investment in certain foreign subsidiaries. The duration of foreign currency contracts generally does not exceed 12 months and the contracts are valued using observable market rates.</w:t>
      </w:r>
    </w:p>
    <w:p>
      <w:pPr>
        <w:spacing w:after="0" w:line="15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Company’s foreign currency forward contracts that qualify for cash flow hedge accounting resulted in a net unrealized gain of $4 and $12 at December 31, 2022 and 2021, respectively. Changes in the fair value of cash flow hedges are recorded in Other comprehensive income (loss) and are reclassified into earnings in the same period or periods during which the underlying hedged transaction is recognized in earnings. At the end of 2022, an unfavorable 10% change in exchange rates would have resulted in a net unrealized loss of $80.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202"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The Company manages its mix of fixed and floating rate debt against its target with debt issuances and by entering into interest rate swaps in order to mitigate fluctuations in earnings and cash flows that may result from interest rate volatility. The Company utilizes forward-starting interest rate swaps to mitigate the risk of variability in interest rate for future debt issuances. The notional amount, interest payment and maturity date of the swaps generally match the principal, interest payment and maturity date of the related debt, and the swaps are valued using observable benchmark rates.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Based on year-end 2022 variable rate debt levels, a 1% increase in interest rates would have increased Interest (income) expense, net by $14 in 2022.</w:t>
      </w:r>
    </w:p>
    <w:p>
      <w:pPr>
        <w:spacing w:after="0" w:line="200" w:lineRule="exact"/>
        <w:rPr>
          <w:sz w:val="20"/>
          <w:szCs w:val="20"/>
          <w:color w:val="auto"/>
        </w:rPr>
      </w:pPr>
    </w:p>
    <w:p>
      <w:pPr>
        <w:ind w:right="60" w:firstLine="139"/>
        <w:spacing w:after="0" w:line="270" w:lineRule="auto"/>
        <w:rPr>
          <w:sz w:val="20"/>
          <w:szCs w:val="20"/>
          <w:color w:val="auto"/>
        </w:rPr>
      </w:pPr>
      <w:r>
        <w:rPr>
          <w:rFonts w:ascii="Times New Roman" w:cs="Times New Roman" w:eastAsia="Times New Roman" w:hAnsi="Times New Roman"/>
          <w:sz w:val="14"/>
          <w:szCs w:val="14"/>
          <w:color w:val="auto"/>
        </w:rPr>
        <w:t>The Company has completed its assessment of the impact of the discontinuation of LIBOR as a benchmark interest rate on its current financial instruments and contractual arrangements, including debt outstanding, and concluded it to be not material as the Company does not have significant exposure to LIBOR in either its debt or other financing arrangements. The Company will continue to monitor its exposure in subsequent periods.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202"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color w:val="auto"/>
        </w:rPr>
        <w:t>The Company is exposed to price volatility related to raw materials used in production, such as essential oils, resins, tropical oils, pulp, tallow, corn, poultry and soybeans. The Company manages its raw material exposures through a combination of cost containment measures, ongoing productivity initiatives and the limited use of commodity hedging contracts. Futures contracts are used on a limited basis, primarily in the Hill</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s Pet Nutrition segment, to manage volatility related to anticipated raw material inventory purchases of certain traded commodities.</w:t>
      </w:r>
    </w:p>
    <w:p>
      <w:pPr>
        <w:spacing w:after="0" w:line="163"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Company’s open commodity derivative contracts that qualify for cash flow hedge accounting resulted in a net unrealized gain of $1 and $2 at December 31, 2022 and 2021, respectively. At the end of 2022, an unfavorable 10% change in commodity futures prices would have resulted in a net unrealized loss of $1.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202" w:lineRule="exact"/>
        <w:rPr>
          <w:sz w:val="20"/>
          <w:szCs w:val="20"/>
          <w:color w:val="auto"/>
        </w:rPr>
      </w:pPr>
    </w:p>
    <w:p>
      <w:pPr>
        <w:jc w:val="both"/>
        <w:ind w:right="220" w:firstLine="255"/>
        <w:spacing w:after="0" w:line="287" w:lineRule="auto"/>
        <w:rPr>
          <w:sz w:val="20"/>
          <w:szCs w:val="20"/>
          <w:color w:val="auto"/>
        </w:rPr>
      </w:pPr>
      <w:r>
        <w:rPr>
          <w:rFonts w:ascii="Times New Roman" w:cs="Times New Roman" w:eastAsia="Times New Roman" w:hAnsi="Times New Roman"/>
          <w:sz w:val="14"/>
          <w:szCs w:val="14"/>
          <w:color w:val="auto"/>
        </w:rPr>
        <w:t>The Company is exposed to the risk of credit loss in the event of nonperformance by counterparties to financial instrument contracts; however, nonperformance is considered unlikely and any nonperformance is unlikely to be material as it is the Company’s policy to contract with diverse, credit-worthy counterparties based upon both strong credit ratings and other credit considerations.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91" w:lineRule="exact"/>
        <w:rPr>
          <w:sz w:val="20"/>
          <w:szCs w:val="20"/>
          <w:color w:val="auto"/>
        </w:rPr>
      </w:pPr>
    </w:p>
    <w:p>
      <w:pPr>
        <w:ind w:right="20" w:firstLine="255"/>
        <w:spacing w:after="0" w:line="243" w:lineRule="auto"/>
        <w:rPr>
          <w:sz w:val="20"/>
          <w:szCs w:val="20"/>
          <w:color w:val="auto"/>
        </w:rPr>
      </w:pPr>
      <w:r>
        <w:rPr>
          <w:rFonts w:ascii="Times New Roman" w:cs="Times New Roman" w:eastAsia="Times New Roman" w:hAnsi="Times New Roman"/>
          <w:sz w:val="14"/>
          <w:szCs w:val="14"/>
          <w:color w:val="auto"/>
        </w:rPr>
        <w:t>In September 2022, the Financial Accounting Standards Board (the “FASB”) issued Accounting Standards Update (“ASU”) No. 2022-04, “Liabilities-Supplier Finance Programs (Subtopic 405-50): Disclosure of Supplier Finance Program Obligations.” This ASU requires a buyer that uses supplier finance programs to make annual disclosures about the programs’ key terms, the balance sheet presentation of related amounts, the confirmed amount outstanding at the end of the period and associated roll-forward information. The guidance, which is effective for the Company beginning on January 1, 2023 (except for the roll-forward, which is effective beginning on January 1, 2024), is not expected to have a material impact on the Company’s Consolidated Financial Statements.</w:t>
      </w:r>
    </w:p>
    <w:p>
      <w:pPr>
        <w:spacing w:after="0" w:line="17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In March 2022, the FASB issued ASU No. 2022-02, “Financial Instruments-Credit Losses (Topic 326): Troubled Debt Restructurings and Vintage Disclosures.” This ASU eliminates the accounting guidance for troubled debt restructurings by creditors while enhancing disclosure requirements for certain loan refinancing and restructurings by creditors made to borrowers experiencing financial difficulty. The amendments also require disclosure of current-period gross write-offs by year of origination for financing receivables. This guidance is effective for the Company beginning on January 1, 2023 and is not expected to have a material impact on the Company’s Consolidated Financial Statements.</w:t>
      </w:r>
    </w:p>
    <w:p>
      <w:pPr>
        <w:spacing w:after="0" w:line="162"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In March 2022, the FASB issued ASU No. 2022-01, “Derivatives and Hedging (Topic 815): Fair Value Hedging-Portfolio Layer Method.” This ASU clarifies the accounting and promotes consistency in reporting for hedges where the portfolio layer method is applied. This guidance is effective for the Company beginning on January 1, 2023 and is not expected to have an impact on the Company’s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00" w:firstLine="255"/>
        <w:spacing w:after="0" w:line="264" w:lineRule="auto"/>
        <w:rPr>
          <w:sz w:val="20"/>
          <w:szCs w:val="20"/>
          <w:color w:val="auto"/>
        </w:rPr>
      </w:pPr>
      <w:r>
        <w:rPr>
          <w:rFonts w:ascii="Times New Roman" w:cs="Times New Roman" w:eastAsia="Times New Roman" w:hAnsi="Times New Roman"/>
          <w:sz w:val="14"/>
          <w:szCs w:val="14"/>
          <w:color w:val="auto"/>
        </w:rPr>
        <w:t>In November 2021, the FASB issued ASU No. 2021-10, “Government Assistance (Topic 832).” This ASU requires increased disclosure on an annual basis about transactions with domestic, foreign, local, regional and national governments, including entities related to those governments and intergovernmental organizations, that are accounted for by applying a grant or contribution accounting model by analogy to other accounting guidance. This guidance was effective for the Company beginning on January 1, 2022 and did not have a material impact on the Company’s Consolidated Financial Statements.</w:t>
      </w:r>
    </w:p>
    <w:p>
      <w:pPr>
        <w:spacing w:after="0" w:line="162"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In October 2021, the FASB issued ASU No. 2021-08, “Business Combinations (Topic 805): Accounting for Contract Assets and Contract Liabilities from Contracts with Customers.” This ASU requires contract assets and contract liabilities acquired in a business combination to be recognized and measured by the acquirer on the acquisition date in accordance with ASU No. 2016-10, “Revenue from Contracts with Customers (Topic 606).” This guidance is effective for the Company beginning on January 1, 2023 and is not expected to have a material impact on the Company’s Consolidated Financial Statements.</w:t>
      </w:r>
    </w:p>
    <w:p>
      <w:pPr>
        <w:spacing w:after="0" w:line="162"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In March 2020, the FASB issued ASU No. 2020-04, “Reference Rate Reform (Topic 848): Facilitation of the Effects of Reference Rate Reform on Financial Reporting,” which provides optional expedients and exceptions for applying generally accepted accounting principles (“GAAP”) to contracts, hedging relationships and other transactions that reference LIBOR or another reference rate expected to be discontinued because of reference rate reform. In January 2021, the FASB issued ASU No. 2021-01, “Reference Rate Reform (Topic 848): Scope,” which clarified that certain optional expedients and exceptions in Topic 848 apply to derivatives that are affected by the discounting transition due to reference rate reform. In December 2022, the FASB issued ASU No. 2022-06, "Reference Rate Reform (Topic 848): Deferral of the Sunset Date of Topic 848," which defers the sunset date of Topic 848 from December 31, 2022 to December 31, 2024, after which entities will no longer be permitted to apply the relief under Topic 848. We have completed our evaluation of significant contracts under this ASU. Certain of the reviewed contracts have been modified and the remaining reviewed contracts will be modified, where necessary, to apply a new reference rate, primarily the Secured Overnight Financing Rate (SOFR). Accordingly the guidance has not had and is not expected to have a material impact on the Company’s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preparation of financial statements in accordance with accounting principles generally accepted in the United States of America requires management to use judgment and make estimates. The level of uncertainty in estimates and assumptions increases with the length of time until the underlying transactions are completed. Actual results could ultimately differ from those estimates. The accounting policies that are most critical in the preparation of the Company’s Consolidated Financial Statements are those that are both important to the presentation of the Consolidated Financial Statements and require significant or complex judgments and estimates on the part of management. The Company’s critical accounting policies are reviewed periodically with the Audit Committee of the Board of Directors.</w:t>
      </w:r>
    </w:p>
    <w:p>
      <w:pPr>
        <w:spacing w:after="0" w:line="164"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In certain instances, accounting principles generally accepted in the United States of America allow for the selection of alternative accounting methods. The Company’s significant policies that involve the selection of alternative methods are accounting for inventories and shipping and handling costs.</w:t>
      </w:r>
    </w:p>
    <w:p>
      <w:pPr>
        <w:spacing w:after="0" w:line="142" w:lineRule="exact"/>
        <w:rPr>
          <w:sz w:val="20"/>
          <w:szCs w:val="20"/>
          <w:color w:val="auto"/>
        </w:rPr>
      </w:pPr>
    </w:p>
    <w:p>
      <w:pPr>
        <w:ind w:left="520" w:right="120" w:hanging="260"/>
        <w:spacing w:after="0" w:line="307" w:lineRule="auto"/>
        <w:tabs>
          <w:tab w:leader="none" w:pos="51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inventories using both the first-in, first-out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FIFO</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method (80% of inventories) and the last-in, first-out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LIFO</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method (20% of inventories). There would have been no material impact on reported earnings for 2022 or 2021 had all inventories been accounted for under the FIFO method.</w:t>
      </w:r>
    </w:p>
    <w:p>
      <w:pPr>
        <w:spacing w:after="0" w:line="129" w:lineRule="exact"/>
        <w:rPr>
          <w:rFonts w:ascii="Times New Roman" w:cs="Times New Roman" w:eastAsia="Times New Roman" w:hAnsi="Times New Roman"/>
          <w:sz w:val="14"/>
          <w:szCs w:val="14"/>
          <w:color w:val="auto"/>
        </w:rPr>
      </w:pPr>
    </w:p>
    <w:p>
      <w:pPr>
        <w:ind w:left="520" w:right="80" w:hanging="260"/>
        <w:spacing w:after="0" w:line="261" w:lineRule="auto"/>
        <w:tabs>
          <w:tab w:leader="none" w:pos="51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Shipping and handling costs may be reported as either a component of Cost of sales or Selling, general and administrative expenses. The Company accounts for such costs, primarily related to warehousing and outbound freight, as fulfillment costs and reports them in the Consolidated Statements of Income as a component of Selling, general and administrative expenses. Accordingly, the Company’s Gross profit margin is not comparable with the gross profit margin of those companies that include shipping and handling charges in cost of sales. If such costs had been included as a component of Cost of sales, the Company’s Gross profit margin would have been lower by 1,040 bps in 2022, by 970 bps in 2021, and 850 bps in 2020, with no impact on reported earnings.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00" w:firstLine="139"/>
        <w:spacing w:after="0" w:line="287" w:lineRule="auto"/>
        <w:rPr>
          <w:sz w:val="20"/>
          <w:szCs w:val="20"/>
          <w:color w:val="auto"/>
        </w:rPr>
      </w:pPr>
      <w:r>
        <w:rPr>
          <w:rFonts w:ascii="Times New Roman" w:cs="Times New Roman" w:eastAsia="Times New Roman" w:hAnsi="Times New Roman"/>
          <w:sz w:val="14"/>
          <w:szCs w:val="14"/>
          <w:color w:val="auto"/>
        </w:rPr>
        <w:t>The areas of accounting that involve significant or complex judgments and estimates are pensions and other retiree benefit cost assumptions, stock-based compensation, asset impairments, uncertain tax positions, tax valuation allowances, legal and other contingency reserves.</w:t>
      </w:r>
    </w:p>
    <w:p>
      <w:pPr>
        <w:spacing w:after="0" w:line="145" w:lineRule="exact"/>
        <w:rPr>
          <w:sz w:val="20"/>
          <w:szCs w:val="20"/>
          <w:color w:val="auto"/>
        </w:rPr>
      </w:pPr>
    </w:p>
    <w:p>
      <w:pPr>
        <w:ind w:left="520" w:right="40" w:hanging="260"/>
        <w:spacing w:after="0" w:line="259" w:lineRule="auto"/>
        <w:tabs>
          <w:tab w:leader="none" w:pos="51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accounting for pension and other postretirement benefit costs, the most significant actuarial assumptions are the discount rate and the expected long-term rate of return on plan assets. The discount rate used to measure the benefit obligation for U.S. defined benefit plans was 5.66% and 2.98% as of December 31, 2022 and 2021, respectively. The discount rate used to measure the benefit obligation for other U.S. postretirement plans was 5.67% and 3.06% as of December 31, 2022 and 2021, respectively. Discount rates used for the U.S. and international defined benefit and other postretirement plans are based on a yield curve constructed from a portfolio of high-quality bonds whose projected cash flows approximate the projected benefit payments of the plans. The assumed expected long-term rate of return on plan assets for U.S. plans was 6.25% as of December 31, 2022 and 5.70% as of December 31, 2021. In determining the expected long-term rate of return, the Company considers the nature of the plans’ investments and the historical rate of return.</w:t>
      </w:r>
    </w:p>
    <w:p>
      <w:pPr>
        <w:spacing w:after="0" w:line="167" w:lineRule="exact"/>
        <w:rPr>
          <w:rFonts w:ascii="Times New Roman" w:cs="Times New Roman" w:eastAsia="Times New Roman" w:hAnsi="Times New Roman"/>
          <w:sz w:val="14"/>
          <w:szCs w:val="14"/>
          <w:color w:val="auto"/>
        </w:rPr>
      </w:pPr>
    </w:p>
    <w:p>
      <w:pPr>
        <w:ind w:left="52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annual rates of return for the U.S. plans for the most recent 1-year, 5-year, 10-year, 15-year and 25-year periods were (18)%, 1%, 4%, 4% and 5%, respectively. In addition, the current assumed rate of return for the U.S. plans is based upon the nature of the plans’ investments with a target asset allocation of approximately 76% in fixed income securities, 21% in equity securities and 3% in real estate and other investments. A 1% change in the assumed rate of return on plan assets of the U.S. pension plans would impact future Net income attributable to Colgate-Palmolive Company by approximately $13. A 1% change in the discount rate for the U.S. pension plans and U.S. other retiree benefit plan would impact future Net income attributable to Colgate-Palmolive Company by approximately $2 and $1, respectively. A third assumption is the long-term rate of compensation increase, a change in which would partially offset the impact of a change in either the discount rate or the expected long-term rate of return. This rate was 3.50% as of December 31, 2022 and 2021. Refer to Note 10, Retirement Plans and Other Retiree Benefits to the Consolidated Financial Statements for further discussion of the Company’s pension and other postretirement plans.</w:t>
      </w:r>
    </w:p>
    <w:p>
      <w:pPr>
        <w:spacing w:after="0" w:line="167" w:lineRule="exact"/>
        <w:rPr>
          <w:rFonts w:ascii="Times New Roman" w:cs="Times New Roman" w:eastAsia="Times New Roman" w:hAnsi="Times New Roman"/>
          <w:sz w:val="14"/>
          <w:szCs w:val="14"/>
          <w:color w:val="auto"/>
        </w:rPr>
      </w:pPr>
    </w:p>
    <w:p>
      <w:pPr>
        <w:ind w:left="520" w:right="20" w:hanging="260"/>
        <w:spacing w:after="0" w:line="264" w:lineRule="auto"/>
        <w:tabs>
          <w:tab w:leader="none" w:pos="51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 requiring the most judgment in accounting for other postretirement benefits (other than the discount rate noted above) is the medical cost trend rate. The Company reviews external data and its own historical trends for health care costs to determine the medical cost trend rate. The assumed rate of increase for the U.S. postretirement benefit plans is 6.25% for 2023, declining to 4.50% by 2027 and remaining at 4.50% for the years thereafter. The effect on the total of service cost and interest costs components of a 1% increase in the assumed long-term medical cost trend rate would impact future Net income attributable to Colgate-Palmolive Company by $2.</w:t>
      </w:r>
    </w:p>
    <w:p>
      <w:pPr>
        <w:spacing w:after="0" w:line="161" w:lineRule="exact"/>
        <w:rPr>
          <w:rFonts w:ascii="Times New Roman" w:cs="Times New Roman" w:eastAsia="Times New Roman" w:hAnsi="Times New Roman"/>
          <w:sz w:val="14"/>
          <w:szCs w:val="14"/>
          <w:color w:val="auto"/>
        </w:rPr>
      </w:pPr>
    </w:p>
    <w:p>
      <w:pPr>
        <w:ind w:left="520" w:hanging="260"/>
        <w:spacing w:after="0" w:line="259" w:lineRule="auto"/>
        <w:tabs>
          <w:tab w:leader="none" w:pos="51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recognizes the cost of employee services received in exchange for awards of equity instruments, such as stock options and restricted stock units (both performance-based and time-vested), based on the fair value of those awards at the date of grant. The Company uses the Black-Scholes-Merton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Black-Scholes</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option pricing model to estimate the fair value of stock option awards. The weighted-average estimated fair value of each stock option award granted in the year ended December 31, 2022 was $14.71.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 A one-year change in expected term would result in a change in fair value of approximately 6%. A 1% change in volatility would change fair value by approximately 4%. The Company uses a Monte-Carlo simulation to determine the fair value of performance-based restricted stock units at the date of grant. The Monte-Carlo simulation model uses substantially the same inputs as the Black-Scholes model.</w:t>
      </w:r>
    </w:p>
    <w:p>
      <w:pPr>
        <w:spacing w:after="0" w:line="167"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and indefinite-life intangible assets, such as the Company’s global brands, are subject to impairment tests at least annually or when events or changes in circumstances indicate an asset may be impaired. In assessing impairment, the Company performs either a quantitative or a qualitative analysis.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spacing w:after="0" w:line="257" w:lineRule="auto"/>
        <w:rPr>
          <w:sz w:val="20"/>
          <w:szCs w:val="20"/>
          <w:color w:val="auto"/>
        </w:rPr>
      </w:pPr>
      <w:r>
        <w:rPr>
          <w:rFonts w:ascii="Times New Roman" w:cs="Times New Roman" w:eastAsia="Times New Roman" w:hAnsi="Times New Roman"/>
          <w:sz w:val="14"/>
          <w:szCs w:val="14"/>
          <w:color w:val="auto"/>
        </w:rPr>
        <w:t>Determining the fair value of the Company’s reporting units for goodwill and the fair value of its intangible assets requires significant estimates and judgments by management. When a quantitative analysis is performed, the Company generally uses the income approach, which requires several estimates, including future cash flows consistent with management’s strategic plans, sales growth rates, foreign exchange rates and the selection of royalty rates and a discount rate. Estimating sales growth rates requires significant judgment by management in areas such as future economic conditions, category growth rates, product pricing, consumer tastes and preferences and future expansion expectations. In selecting an appropriate royalty rate, the Company considers the long-term profitability of the brand and recent market transactions for similar brands and products. In determining an appropriate discount rate, the Company considers the current interest rate environment and its estimated cost of capital. Other qualitative factors the Company considers, in addition to those quantitative measures discussed above, include assessments of general macroeconomic conditions, industry-specific considerations and historical financial performance. The Company generally engages a third-party valuation firm to assist it in determining the fair value of intangible assets acquired in business combinations.</w:t>
      </w:r>
    </w:p>
    <w:p>
      <w:pPr>
        <w:spacing w:after="0" w:line="170" w:lineRule="exact"/>
        <w:rPr>
          <w:sz w:val="20"/>
          <w:szCs w:val="20"/>
          <w:color w:val="auto"/>
        </w:rPr>
      </w:pPr>
    </w:p>
    <w:p>
      <w:pPr>
        <w:ind w:left="520" w:right="120"/>
        <w:spacing w:after="0" w:line="270" w:lineRule="auto"/>
        <w:rPr>
          <w:sz w:val="20"/>
          <w:szCs w:val="20"/>
          <w:color w:val="auto"/>
        </w:rPr>
      </w:pPr>
      <w:r>
        <w:rPr>
          <w:rFonts w:ascii="Times New Roman" w:cs="Times New Roman" w:eastAsia="Times New Roman" w:hAnsi="Times New Roman"/>
          <w:sz w:val="14"/>
          <w:szCs w:val="14"/>
          <w:color w:val="auto"/>
        </w:rPr>
        <w:t>In determining the fair value of the Company’s reporting units, fair value is also determined using the market approach, which is generally derived from metrics of comparable publicly traded companies. As multiple valuation methodologies are used, the Company also performs a qualitative analysis comparing the fair value of a reporting unit under each method to assess its reasonableness and ensure consistency of results.</w:t>
      </w:r>
    </w:p>
    <w:p>
      <w:pPr>
        <w:spacing w:after="0" w:line="157" w:lineRule="exact"/>
        <w:rPr>
          <w:sz w:val="20"/>
          <w:szCs w:val="20"/>
          <w:color w:val="auto"/>
        </w:rPr>
      </w:pPr>
    </w:p>
    <w:p>
      <w:pPr>
        <w:ind w:left="520" w:right="20"/>
        <w:spacing w:after="0" w:line="287" w:lineRule="auto"/>
        <w:rPr>
          <w:sz w:val="20"/>
          <w:szCs w:val="20"/>
          <w:color w:val="auto"/>
        </w:rPr>
      </w:pPr>
      <w:r>
        <w:rPr>
          <w:rFonts w:ascii="Times New Roman" w:cs="Times New Roman" w:eastAsia="Times New Roman" w:hAnsi="Times New Roman"/>
          <w:sz w:val="14"/>
          <w:szCs w:val="14"/>
          <w:color w:val="auto"/>
        </w:rPr>
        <w:t>Determining the expected life of a brand requires management judgment and is based on an evaluation of several factors including market share, brand history, future expansion expectations, the level of in-market support anticipated by management, legal or regulatory restrictions and the economic environment in the countries in which the brand is sold.</w:t>
      </w:r>
    </w:p>
    <w:p>
      <w:pPr>
        <w:spacing w:after="0" w:line="145" w:lineRule="exact"/>
        <w:rPr>
          <w:sz w:val="20"/>
          <w:szCs w:val="20"/>
          <w:color w:val="auto"/>
        </w:rPr>
      </w:pPr>
    </w:p>
    <w:p>
      <w:pPr>
        <w:ind w:left="520" w:right="20"/>
        <w:spacing w:after="0" w:line="257" w:lineRule="auto"/>
        <w:rPr>
          <w:sz w:val="20"/>
          <w:szCs w:val="20"/>
          <w:color w:val="auto"/>
        </w:rPr>
      </w:pPr>
      <w:r>
        <w:rPr>
          <w:rFonts w:ascii="Times New Roman" w:cs="Times New Roman" w:eastAsia="Times New Roman" w:hAnsi="Times New Roman"/>
          <w:sz w:val="14"/>
          <w:szCs w:val="14"/>
          <w:color w:val="auto"/>
        </w:rPr>
        <w:t>In the fourth quarter of 2022, the Company made revisions to the internal forecasts relating to its Filorga reporting unit due primarily to the continued impact of the COVID-19 pandemic, particularly in China, as a result of government restrictions and reduced consumer mobility, which negatively impacted consumption in the duty-free, travel retail and pharmacy channels. The Company concluded that the changes in circumstances in this reporting unit and the impact of significantly higher interest rates triggered the need for an interim impairment review of its indefinite-lived trademark, goodwill and long-lived assets which consists primarily of customer relationships. As a result of the interim impairment test, the Company concluded that the carrying value of the trademark and customer relationships exceeded their estimated fair value and recorded impairment charges of $300 and $89, respectively, reducing their carrying values to $257 and $118, respectively, as of December 31, 2022. After adjusting the carrying values of the trademark and customer relationship intangible assets, the Company completed a quantitative impairment test for goodwill and recorded a goodwill impairment charge of $332 in the Filorga reporting unit, reducing the carrying value of goodwill to $214 as of December 31, 2022.</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Except for the Filorga skin health business described above, the estimated fair value of the Company’s remaining reporting units substantially exceeds their carrying value.</w:t>
      </w:r>
    </w:p>
    <w:p>
      <w:pPr>
        <w:spacing w:after="0" w:line="200" w:lineRule="exact"/>
        <w:rPr>
          <w:sz w:val="20"/>
          <w:szCs w:val="20"/>
          <w:color w:val="auto"/>
        </w:rPr>
      </w:pPr>
    </w:p>
    <w:p>
      <w:pPr>
        <w:ind w:left="520" w:right="240"/>
        <w:spacing w:after="0" w:line="264" w:lineRule="auto"/>
        <w:rPr>
          <w:sz w:val="20"/>
          <w:szCs w:val="20"/>
          <w:color w:val="auto"/>
        </w:rPr>
      </w:pPr>
      <w:r>
        <w:rPr>
          <w:rFonts w:ascii="Times New Roman" w:cs="Times New Roman" w:eastAsia="Times New Roman" w:hAnsi="Times New Roman"/>
          <w:sz w:val="14"/>
          <w:szCs w:val="14"/>
          <w:color w:val="auto"/>
        </w:rPr>
        <w:t>As of the date of the annual impairment test of indefinite-lived intangible assets, the fair value of two of the Company’s indefinite-lived trademark intangible assets, other than Filorga, exceeded their recorded carrying values by less than 10%. The combined carrying value for these trademarks is $465 as of December 31, 2022. Either a reduction in the royalty rate of 50 basis points, a reduction in the long term sales growth rate of 50 basis points or an increase in discount rate of 50 bps would result in the fair value of each of these indefinite-lived trademarks approximating their respective carrying value.</w:t>
      </w:r>
    </w:p>
    <w:p>
      <w:pPr>
        <w:spacing w:after="0" w:line="162" w:lineRule="exact"/>
        <w:rPr>
          <w:sz w:val="20"/>
          <w:szCs w:val="20"/>
          <w:color w:val="auto"/>
        </w:rPr>
      </w:pPr>
    </w:p>
    <w:p>
      <w:pPr>
        <w:ind w:left="520" w:right="480"/>
        <w:spacing w:after="0" w:line="287" w:lineRule="auto"/>
        <w:rPr>
          <w:sz w:val="20"/>
          <w:szCs w:val="20"/>
          <w:color w:val="auto"/>
        </w:rPr>
      </w:pPr>
      <w:r>
        <w:rPr>
          <w:rFonts w:ascii="Times New Roman" w:cs="Times New Roman" w:eastAsia="Times New Roman" w:hAnsi="Times New Roman"/>
          <w:sz w:val="14"/>
          <w:szCs w:val="14"/>
          <w:color w:val="auto"/>
        </w:rPr>
        <w:t>Given the inherent uncertainties of estimating the future impacts of the COVID-19 pandemic, interest rates and inflation on macroeconomic conditions, actual results may differ from management's current estimates which could potentially result in additional impairment charges in future periods.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spacing w:after="0" w:line="245" w:lineRule="auto"/>
        <w:rPr>
          <w:sz w:val="20"/>
          <w:szCs w:val="20"/>
          <w:color w:val="auto"/>
        </w:rPr>
      </w:pPr>
      <w:r>
        <w:rPr>
          <w:rFonts w:ascii="Times New Roman" w:cs="Times New Roman" w:eastAsia="Times New Roman" w:hAnsi="Times New Roman"/>
          <w:sz w:val="14"/>
          <w:szCs w:val="14"/>
          <w:color w:val="auto"/>
        </w:rPr>
        <w:t>In the fourth quarter of 2021, the Company made revisions to the internal forecasts relating to its Filorga reporting unit due primarily to the impact of the COVID-19 pandemic on the Filorga skin health business as a result of government restrictions and reduced consumer mobility, which negatively impacted consumption in the duty-free, travel retail and pharmacy channels. The Company performed an impairment review and concluded that the carrying value of the trademark exceeded its estimated fair value and recorded an impairment charge of $204, reducing the carrying value to approximately $588. After adjusting the carrying value of the trademark, the Company completed a quantitative impairment test for goodwill and recorded a goodwill impairment charge of $367 in the Filorga reporting unit, reducing the carrying value of goodwill to approximately $577.</w:t>
      </w:r>
    </w:p>
    <w:p>
      <w:pPr>
        <w:spacing w:after="0" w:line="176"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recognition and measurement of uncertain tax positions involves consideration of the amounts and probabilities of various outcomes that could be realized upon ultimate resolution.</w:t>
      </w:r>
    </w:p>
    <w:p>
      <w:pPr>
        <w:spacing w:after="0" w:line="199"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145" w:lineRule="exact"/>
        <w:rPr>
          <w:rFonts w:ascii="Times New Roman" w:cs="Times New Roman" w:eastAsia="Times New Roman" w:hAnsi="Times New Roman"/>
          <w:sz w:val="14"/>
          <w:szCs w:val="14"/>
          <w:color w:val="auto"/>
        </w:rPr>
      </w:pPr>
    </w:p>
    <w:p>
      <w:pPr>
        <w:ind w:left="520" w:right="240" w:hanging="260"/>
        <w:spacing w:after="0" w:line="261" w:lineRule="auto"/>
        <w:tabs>
          <w:tab w:leader="none" w:pos="51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and other contingency reserves are based on management’s assessment of the risk of potential loss, which includes consultation with outside legal counsel and other advisors. Such assessments are reviewed each period and revised based on current facts and circumstances, if necessary. While it is possible that the Company’s cash flows and results of operations in a particular quarter or year could be materially affected by the impact of such contingencies, based on current knowledge it is the opinion of management that these matters will not have a material effect on the Company’s financial position, or its ongoing results of operations or cash flows. Refer to Note 13, Commitments and Contingencies to the Consolidated Financial Statements for further discussion of the Company’s contingencies.</w:t>
      </w:r>
    </w:p>
    <w:p>
      <w:pPr>
        <w:spacing w:after="0" w:line="164"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Company generates revenue through the sale of well-known consumer products to trade customers under established trading terms. While the recognition of revenue and receivables requires the use of estimates, there is a short time frame (typically less than 60 days) between the shipment of product and cash receipt, thereby reducing the level of uncertainty in these estimates. Refer to Note 2, Summary of Significant Accounting Policies to the Consolidated Financial Statements for further description of the Company’s significant accounting policies.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on Forward-Looking Statements</w:t>
      </w:r>
    </w:p>
    <w:p>
      <w:pPr>
        <w:spacing w:after="0" w:line="20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This Annual Report on Form 10-K may contain forward-looking statements as that term is defined in the Private Securities Litigation Reform Act of 1995 or by the SEC in its rules, regulations and releases that set forth anticipated results based on management’s current plans and assumptions. Such statements may relate, for example, to sales or volume growth, net selling price increases, organic sales growth, profit or profit margin levels, earnings per share levels, financial goals, the impact of foreign exchange, the impact of COVID-19, the impact of the war in Ukraine, cost-reduction plans (including the 2022 Global Productivity Initiative), tax rates, interest rates, new product introductions, digital capabilities, commercial investment levels, acquisitions, divestitures, share repurchases or legal or tax proceedings, among other matters. These statements are made on the basis of the Company’s views and assumptions as of this time and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those statements. The Company cautions investors that any such forward-looking statements are not guarantees of future performance and that actual events or results may differ materially from those statements. Actual events or results may differ materially because of factors that affect international businesses and global economic conditions, as well as matters specific to the Company and the markets it serves, including the uncertain macroeconomic and political environment in different countries, including as a result of inflation and rising interest rates, and its effect on consumer spending habits, foreign currency rate fluctuations, exchange controls, tariffs, sanctions, price or profit controls, labor relations, changes in foreign or domestic laws or regulations or their interpretation, political and fiscal developments, including changes in trade, tax and immigration policies, increased competition and evolving competitive practices (including from the growth of eCommerce and the entry of new competitors and business models), the ability to operate and respond effectively during a pandemic, epidemic or widespread public health concern, including COVID-19, the ability to manage disruptions in our global supply chain and/or key office facilities, the ability to manage the availability and cost of raw and packaging materials and logistics costs, the ability to maintain or increase selling prices as needed, changes in the policies of retail trade customers, the emergence of alternative retail channels, the growth of eCommerce and the rapidly changing retail landscape (as consumers increasingly shop online), the ability to develop innovative new products, the ability to continue lowering costs and operate in an agile manner, the ability to maintain the security of our information technology systems from a cyber-security incident or data breach, the ability to address the effects of climate change and achieve our sustainability and social impact goals, the ability to complete acquisitions and divestitures as planned, the ability to successfully integrate acquired businesses, the ability to attract and retain key employees and integrate DE&amp;I initiatives across our organization, the uncertainty of the outcome of legal proceedings, whether or not the Company believes they have merit, and the ability to address uncertain or unfavorable global economic conditions, including inflation, disruptions in the credit markets and tax matters. For information about these and other factors that could impact the Company’s business and cause actual results to differ materially from forward-looking statements, refer to Part I, Item 1A “Risk Factors.”</w:t>
      </w:r>
    </w:p>
    <w:p>
      <w:pPr>
        <w:spacing w:after="0" w:line="34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“Managing Foreign Currency, Interest Rate, Commodity Price and Credit Risk Exposure” in Part II, Item 7.</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0" w:name="page61"/>
    <w:bookmarkEnd w:id="60"/>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FINANCIAL STATEMENTS AND SUPPLEMENTARY DATA</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“Index to Financial Statements.”</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9A.</w:t>
        <w:tab/>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ind w:right="40" w:firstLine="255"/>
        <w:spacing w:after="0" w:line="268" w:lineRule="auto"/>
        <w:rPr>
          <w:sz w:val="20"/>
          <w:szCs w:val="20"/>
          <w:color w:val="auto"/>
        </w:rPr>
      </w:pPr>
      <w:r>
        <w:rPr>
          <w:rFonts w:ascii="Times New Roman" w:cs="Times New Roman" w:eastAsia="Times New Roman" w:hAnsi="Times New Roman"/>
          <w:sz w:val="14"/>
          <w:szCs w:val="14"/>
          <w:color w:val="auto"/>
        </w:rPr>
        <w:t xml:space="preserve">The Company’s management, under the supervision and with the participation of the Company’s Chairman of the Board, President and Chief Executive Officer and Chief Financial Officer, carried out an evaluation of the effectiveness of the design and operation of the Company’s disclosure controls and procedures as of December 31, 2022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Evaluation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Based upon the Evaluation, the Company’s Chairman of the Board, President and Chief Executive Officer and Chief Financial Officer concluded that the Company’s disclosure controls and procedures (as defined in Rule 13a-15(e) of the Securities Exchange Act of 1934) are effective.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establishing and maintaining adequate internal control over financial reporting, as defined in Rules 13a-15(f) and 15d-15(f) under the Securities Exchange Act of 1934. Management, under the supervision and with the participation of the Company’s Chairman of the Board, President and Chief Executive Officer and Chief Financial Officer, conducted an evaluation of the Company’s internal control over financial reporting based upon the framework in Internal Control – Integrated Framework (2013) issued by the Committee of Sponsoring Organizations of the Treadway Commission and concluded that it was effective as of December 31, 2022.</w:t>
      </w:r>
    </w:p>
    <w:p>
      <w:pPr>
        <w:spacing w:after="0" w:line="162" w:lineRule="exact"/>
        <w:rPr>
          <w:sz w:val="20"/>
          <w:szCs w:val="20"/>
          <w:color w:val="auto"/>
        </w:rPr>
      </w:pPr>
    </w:p>
    <w:p>
      <w:pPr>
        <w:ind w:right="360" w:firstLine="255"/>
        <w:spacing w:after="0" w:line="288" w:lineRule="auto"/>
        <w:rPr>
          <w:sz w:val="20"/>
          <w:szCs w:val="20"/>
          <w:color w:val="auto"/>
        </w:rPr>
      </w:pPr>
      <w:r>
        <w:rPr>
          <w:rFonts w:ascii="Times New Roman" w:cs="Times New Roman" w:eastAsia="Times New Roman" w:hAnsi="Times New Roman"/>
          <w:sz w:val="14"/>
          <w:szCs w:val="14"/>
          <w:color w:val="auto"/>
        </w:rPr>
        <w:t xml:space="preserve">The Company’s independent registered public accounting firm, PricewaterhouseCoopers LLP, has audited the effectiveness of the Company’s internal control over financial reporting as of December 31, 2022, and has expressed an unqualified opinion in their report, which appears under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Index to Financial Statements – Report of Independent Registered Public Accounting Firm.</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Company is in the process of upgrading its enterprise IT system to SAP S/4 HANA. This change has not had and is not expected to have a material impact on the Company’s internal controls over financial reporting.</w:t>
      </w:r>
    </w:p>
    <w:p>
      <w:pPr>
        <w:spacing w:after="0" w:line="145"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Except as noted above, there were no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1" w:name="page62"/>
    <w:bookmarkEnd w:id="61"/>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“Information about our Executive Officers” in Part I, Item 1 of this report.</w:t>
      </w:r>
    </w:p>
    <w:p>
      <w:pPr>
        <w:spacing w:after="0" w:line="200"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Additional information required by this Item relating to directors, executive officers and corporate governance of the Company is incorporated herein by reference to the Company’s Proxy Statement for its 2023 Annual Meeting of Stockholders (the “2023 Proxy Statement”).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The Company’s Code of Conduct promotes the highest ethical standards in all of the Company’s business dealings. The Code of Conduct satisfies the SEC’s requirements for a Code of Ethics for senior financial officers and applies to all Company employees, including the Chairman of the Board, President and Chief Executive Officer, the Chief Financial Officer and the Vice President and Controller, and the Company’s directors. The Code of Conduct is available on the Company’s website at </w:t>
      </w:r>
      <w:r>
        <w:rPr>
          <w:rFonts w:ascii="Times New Roman" w:cs="Times New Roman" w:eastAsia="Times New Roman" w:hAnsi="Times New Roman"/>
          <w:sz w:val="14"/>
          <w:szCs w:val="14"/>
          <w:u w:val="single" w:color="auto"/>
          <w:color w:val="auto"/>
        </w:rPr>
        <w:t>www.colgatepalmolive.com</w:t>
      </w:r>
      <w:r>
        <w:rPr>
          <w:rFonts w:ascii="Times New Roman" w:cs="Times New Roman" w:eastAsia="Times New Roman" w:hAnsi="Times New Roman"/>
          <w:sz w:val="14"/>
          <w:szCs w:val="14"/>
          <w:color w:val="auto"/>
        </w:rPr>
        <w:t>. Any amendment to the Code of Conduct will promptly be posted on the Company’s website. It is the Company’s policy not to grant waivers of the Code of Conduct. In the extremely unlikely event that the Company grants an executive officer a waiver from a provision of the Code of Conduct, the Company will promptly disclose such information by posting it on its website or by using other appropriate means in accordance with SEC rules.</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regarding executive compensation set forth in the 2023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62" w:name="page63"/>
    <w:bookmarkEnd w:id="62"/>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202"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regarding security ownership of certain beneficial owners and management set forth in the 2023 Proxy Statement is incorporated herein by reference.</w:t>
      </w:r>
    </w:p>
    <w:p>
      <w:pPr>
        <w:spacing w:after="0" w:line="19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does not know of any arrangements that may at a subsequent date result in a change in control of the Registrant.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compensation plan information as of December 31, 2022:</w:t>
      </w:r>
    </w:p>
    <w:p>
      <w:pPr>
        <w:spacing w:after="0" w:line="41" w:lineRule="exact"/>
        <w:rPr>
          <w:sz w:val="20"/>
          <w:szCs w:val="20"/>
          <w:color w:val="auto"/>
        </w:rPr>
      </w:pPr>
    </w:p>
    <w:tbl>
      <w:tblPr>
        <w:tblLayout w:type="fixed"/>
        <w:tblInd w:w="52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2"/>
          </w:tcPr>
          <w:p>
            <w:pPr>
              <w:jc w:val="center"/>
              <w:ind w:right="294"/>
              <w:spacing w:after="0"/>
              <w:rPr>
                <w:sz w:val="20"/>
                <w:szCs w:val="20"/>
                <w:color w:val="auto"/>
              </w:rPr>
            </w:pPr>
            <w:r>
              <w:rPr>
                <w:rFonts w:ascii="Times New Roman" w:cs="Times New Roman" w:eastAsia="Times New Roman" w:hAnsi="Times New Roman"/>
                <w:sz w:val="14"/>
                <w:szCs w:val="14"/>
                <w:color w:val="auto"/>
              </w:rPr>
              <w:t>(a)</w:t>
            </w:r>
          </w:p>
        </w:tc>
        <w:tc>
          <w:tcPr>
            <w:tcW w:w="360" w:type="dxa"/>
            <w:vAlign w:val="bottom"/>
          </w:tcPr>
          <w:p>
            <w:pPr>
              <w:spacing w:after="0"/>
              <w:rPr>
                <w:sz w:val="15"/>
                <w:szCs w:val="15"/>
                <w:color w:val="auto"/>
              </w:rPr>
            </w:pPr>
          </w:p>
        </w:tc>
        <w:tc>
          <w:tcPr>
            <w:tcW w:w="1860" w:type="dxa"/>
            <w:vAlign w:val="bottom"/>
            <w:gridSpan w:val="2"/>
          </w:tcPr>
          <w:p>
            <w:pPr>
              <w:jc w:val="center"/>
              <w:ind w:right="654"/>
              <w:spacing w:after="0"/>
              <w:rPr>
                <w:sz w:val="20"/>
                <w:szCs w:val="20"/>
                <w:color w:val="auto"/>
              </w:rPr>
            </w:pPr>
            <w:r>
              <w:rPr>
                <w:rFonts w:ascii="Times New Roman" w:cs="Times New Roman" w:eastAsia="Times New Roman" w:hAnsi="Times New Roman"/>
                <w:sz w:val="14"/>
                <w:szCs w:val="14"/>
                <w:color w:val="auto"/>
                <w:w w:val="97"/>
              </w:rPr>
              <w:t>(b)</w:t>
            </w:r>
          </w:p>
        </w:tc>
        <w:tc>
          <w:tcPr>
            <w:tcW w:w="2680" w:type="dxa"/>
            <w:vAlign w:val="bottom"/>
            <w:gridSpan w:val="2"/>
          </w:tcPr>
          <w:p>
            <w:pPr>
              <w:jc w:val="center"/>
              <w:ind w:right="274"/>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gridSpan w:val="2"/>
          </w:tcPr>
          <w:p>
            <w:pPr>
              <w:jc w:val="center"/>
              <w:ind w:right="274"/>
              <w:spacing w:after="0" w:line="142" w:lineRule="exact"/>
              <w:rPr>
                <w:sz w:val="20"/>
                <w:szCs w:val="20"/>
                <w:color w:val="auto"/>
              </w:rPr>
            </w:pPr>
            <w:r>
              <w:rPr>
                <w:rFonts w:ascii="Times New Roman" w:cs="Times New Roman" w:eastAsia="Times New Roman" w:hAnsi="Times New Roman"/>
                <w:sz w:val="14"/>
                <w:szCs w:val="14"/>
                <w:color w:val="auto"/>
              </w:rPr>
              <w:t>Number of securities remaining</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2"/>
          </w:tcPr>
          <w:p>
            <w:pPr>
              <w:jc w:val="center"/>
              <w:ind w:right="294"/>
              <w:spacing w:after="0" w:line="149" w:lineRule="exact"/>
              <w:rPr>
                <w:sz w:val="20"/>
                <w:szCs w:val="20"/>
                <w:color w:val="auto"/>
              </w:rPr>
            </w:pPr>
            <w:r>
              <w:rPr>
                <w:rFonts w:ascii="Times New Roman" w:cs="Times New Roman" w:eastAsia="Times New Roman" w:hAnsi="Times New Roman"/>
                <w:sz w:val="14"/>
                <w:szCs w:val="14"/>
                <w:color w:val="auto"/>
              </w:rPr>
              <w:t>Number of securities to be issued</w:t>
            </w:r>
          </w:p>
        </w:tc>
        <w:tc>
          <w:tcPr>
            <w:tcW w:w="2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exercise price</w:t>
            </w:r>
          </w:p>
        </w:tc>
        <w:tc>
          <w:tcPr>
            <w:tcW w:w="2680" w:type="dxa"/>
            <w:vAlign w:val="bottom"/>
            <w:gridSpan w:val="2"/>
          </w:tcPr>
          <w:p>
            <w:pPr>
              <w:jc w:val="center"/>
              <w:ind w:right="274"/>
              <w:spacing w:after="0" w:line="149" w:lineRule="exact"/>
              <w:rPr>
                <w:sz w:val="20"/>
                <w:szCs w:val="20"/>
                <w:color w:val="auto"/>
              </w:rPr>
            </w:pPr>
            <w:r>
              <w:rPr>
                <w:rFonts w:ascii="Times New Roman" w:cs="Times New Roman" w:eastAsia="Times New Roman" w:hAnsi="Times New Roman"/>
                <w:sz w:val="14"/>
                <w:szCs w:val="14"/>
                <w:color w:val="auto"/>
              </w:rPr>
              <w:t>available for future issuance under</w:t>
            </w:r>
          </w:p>
        </w:tc>
        <w:tc>
          <w:tcPr>
            <w:tcW w:w="0" w:type="dxa"/>
            <w:vAlign w:val="bottom"/>
          </w:tcPr>
          <w:p>
            <w:pPr>
              <w:spacing w:after="0"/>
              <w:rPr>
                <w:sz w:val="1"/>
                <w:szCs w:val="1"/>
                <w:color w:val="auto"/>
              </w:rPr>
            </w:pPr>
          </w:p>
        </w:tc>
      </w:tr>
      <w:tr>
        <w:trPr>
          <w:trHeight w:val="138"/>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00" w:type="dxa"/>
            <w:vAlign w:val="bottom"/>
            <w:gridSpan w:val="2"/>
          </w:tcPr>
          <w:p>
            <w:pPr>
              <w:jc w:val="center"/>
              <w:ind w:right="294"/>
              <w:spacing w:after="0" w:line="138" w:lineRule="exact"/>
              <w:rPr>
                <w:sz w:val="20"/>
                <w:szCs w:val="20"/>
                <w:color w:val="auto"/>
              </w:rPr>
            </w:pPr>
            <w:r>
              <w:rPr>
                <w:rFonts w:ascii="Times New Roman" w:cs="Times New Roman" w:eastAsia="Times New Roman" w:hAnsi="Times New Roman"/>
                <w:sz w:val="14"/>
                <w:szCs w:val="14"/>
                <w:color w:val="auto"/>
              </w:rPr>
              <w:t>upon exercise of outstanding options,</w:t>
            </w:r>
          </w:p>
        </w:tc>
        <w:tc>
          <w:tcPr>
            <w:tcW w:w="2220" w:type="dxa"/>
            <w:vAlign w:val="bottom"/>
            <w:gridSpan w:val="3"/>
            <w:vMerge w:val="continue"/>
          </w:tcPr>
          <w:p>
            <w:pPr>
              <w:spacing w:after="0"/>
              <w:rPr>
                <w:sz w:val="11"/>
                <w:szCs w:val="11"/>
                <w:color w:val="auto"/>
              </w:rPr>
            </w:pPr>
          </w:p>
        </w:tc>
        <w:tc>
          <w:tcPr>
            <w:tcW w:w="2680" w:type="dxa"/>
            <w:vAlign w:val="bottom"/>
            <w:gridSpan w:val="2"/>
          </w:tcPr>
          <w:p>
            <w:pPr>
              <w:jc w:val="center"/>
              <w:ind w:right="274"/>
              <w:spacing w:after="0" w:line="138" w:lineRule="exact"/>
              <w:rPr>
                <w:sz w:val="20"/>
                <w:szCs w:val="20"/>
                <w:color w:val="auto"/>
              </w:rPr>
            </w:pPr>
            <w:r>
              <w:rPr>
                <w:rFonts w:ascii="Times New Roman" w:cs="Times New Roman" w:eastAsia="Times New Roman" w:hAnsi="Times New Roman"/>
                <w:sz w:val="14"/>
                <w:szCs w:val="14"/>
                <w:color w:val="auto"/>
              </w:rPr>
              <w:t>equity compensation plans (excluding</w:t>
            </w:r>
          </w:p>
        </w:tc>
        <w:tc>
          <w:tcPr>
            <w:tcW w:w="0" w:type="dxa"/>
            <w:vAlign w:val="bottom"/>
          </w:tcPr>
          <w:p>
            <w:pPr>
              <w:spacing w:after="0"/>
              <w:rPr>
                <w:sz w:val="1"/>
                <w:szCs w:val="1"/>
                <w:color w:val="auto"/>
              </w:rPr>
            </w:pPr>
          </w:p>
        </w:tc>
      </w:tr>
      <w:tr>
        <w:trPr>
          <w:trHeight w:val="149"/>
        </w:trPr>
        <w:tc>
          <w:tcPr>
            <w:tcW w:w="336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color w:val="auto"/>
              </w:rPr>
              <w:t>Plan Category</w:t>
            </w:r>
          </w:p>
        </w:tc>
        <w:tc>
          <w:tcPr>
            <w:tcW w:w="2500" w:type="dxa"/>
            <w:vAlign w:val="bottom"/>
            <w:gridSpan w:val="2"/>
          </w:tcPr>
          <w:p>
            <w:pPr>
              <w:jc w:val="center"/>
              <w:ind w:right="294"/>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2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of outstanding options, warrants</w:t>
            </w:r>
          </w:p>
        </w:tc>
        <w:tc>
          <w:tcPr>
            <w:tcW w:w="2680" w:type="dxa"/>
            <w:vAlign w:val="bottom"/>
            <w:gridSpan w:val="2"/>
          </w:tcPr>
          <w:p>
            <w:pPr>
              <w:jc w:val="center"/>
              <w:ind w:right="274"/>
              <w:spacing w:after="0" w:line="149" w:lineRule="exact"/>
              <w:rPr>
                <w:sz w:val="20"/>
                <w:szCs w:val="20"/>
                <w:color w:val="auto"/>
              </w:rPr>
            </w:pPr>
            <w:r>
              <w:rPr>
                <w:rFonts w:ascii="Times New Roman" w:cs="Times New Roman" w:eastAsia="Times New Roman" w:hAnsi="Times New Roman"/>
                <w:sz w:val="14"/>
                <w:szCs w:val="14"/>
                <w:color w:val="auto"/>
              </w:rPr>
              <w:t>securities reflected in column (a))</w:t>
            </w:r>
          </w:p>
        </w:tc>
        <w:tc>
          <w:tcPr>
            <w:tcW w:w="0" w:type="dxa"/>
            <w:vAlign w:val="bottom"/>
          </w:tcPr>
          <w:p>
            <w:pPr>
              <w:spacing w:after="0"/>
              <w:rPr>
                <w:sz w:val="1"/>
                <w:szCs w:val="1"/>
                <w:color w:val="auto"/>
              </w:rPr>
            </w:pPr>
          </w:p>
        </w:tc>
      </w:tr>
      <w:tr>
        <w:trPr>
          <w:trHeight w:val="180"/>
        </w:trPr>
        <w:tc>
          <w:tcPr>
            <w:tcW w:w="3360" w:type="dxa"/>
            <w:vAlign w:val="bottom"/>
            <w:gridSpan w:val="2"/>
            <w:vMerge w:val="continue"/>
          </w:tcPr>
          <w:p>
            <w:pPr>
              <w:spacing w:after="0"/>
              <w:rPr>
                <w:sz w:val="15"/>
                <w:szCs w:val="15"/>
                <w:color w:val="auto"/>
              </w:rPr>
            </w:pPr>
          </w:p>
        </w:tc>
        <w:tc>
          <w:tcPr>
            <w:tcW w:w="2500" w:type="dxa"/>
            <w:vAlign w:val="bottom"/>
            <w:gridSpan w:val="2"/>
          </w:tcPr>
          <w:p>
            <w:pPr>
              <w:jc w:val="center"/>
              <w:ind w:right="294"/>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5"/>
                <w:szCs w:val="15"/>
                <w:color w:val="auto"/>
              </w:rPr>
            </w:pPr>
          </w:p>
        </w:tc>
        <w:tc>
          <w:tcPr>
            <w:tcW w:w="1860" w:type="dxa"/>
            <w:vAlign w:val="bottom"/>
            <w:gridSpan w:val="2"/>
          </w:tcPr>
          <w:p>
            <w:pPr>
              <w:jc w:val="center"/>
              <w:ind w:right="654"/>
              <w:spacing w:after="0"/>
              <w:rPr>
                <w:sz w:val="20"/>
                <w:szCs w:val="20"/>
                <w:color w:val="auto"/>
              </w:rPr>
            </w:pPr>
            <w:r>
              <w:rPr>
                <w:rFonts w:ascii="Times New Roman" w:cs="Times New Roman" w:eastAsia="Times New Roman" w:hAnsi="Times New Roman"/>
                <w:sz w:val="14"/>
                <w:szCs w:val="14"/>
                <w:color w:val="auto"/>
              </w:rPr>
              <w:t>and rights</w:t>
            </w:r>
          </w:p>
        </w:tc>
        <w:tc>
          <w:tcPr>
            <w:tcW w:w="2680" w:type="dxa"/>
            <w:vAlign w:val="bottom"/>
            <w:gridSpan w:val="2"/>
          </w:tcPr>
          <w:p>
            <w:pPr>
              <w:jc w:val="center"/>
              <w:ind w:right="274"/>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71"/>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8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26,291</w:t>
            </w:r>
          </w:p>
        </w:tc>
        <w:tc>
          <w:tcPr>
            <w:tcW w:w="340" w:type="dxa"/>
            <w:vAlign w:val="bottom"/>
            <w:tcBorders>
              <w:top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9"/>
                <w:szCs w:val="9"/>
                <w:color w:val="auto"/>
                <w:w w:val="94"/>
              </w:rPr>
              <w:t>(1)</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w:t>
            </w:r>
          </w:p>
        </w:tc>
        <w:tc>
          <w:tcPr>
            <w:tcW w:w="340" w:type="dxa"/>
            <w:vAlign w:val="bottom"/>
            <w:tcBorders>
              <w:top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9"/>
                <w:szCs w:val="9"/>
                <w:color w:val="auto"/>
              </w:rPr>
              <w:t>(2)</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32,318</w:t>
            </w:r>
          </w:p>
        </w:tc>
        <w:tc>
          <w:tcPr>
            <w:tcW w:w="320" w:type="dxa"/>
            <w:vAlign w:val="bottom"/>
            <w:tcBorders>
              <w:top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9"/>
                <w:szCs w:val="9"/>
                <w:color w:val="auto"/>
                <w:w w:val="94"/>
              </w:rPr>
              <w:t>(3)</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Equity compensation plans not approved by security</w:t>
            </w:r>
          </w:p>
        </w:tc>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holders</w:t>
            </w:r>
          </w:p>
        </w:tc>
        <w:tc>
          <w:tcPr>
            <w:tcW w:w="2500" w:type="dxa"/>
            <w:vAlign w:val="bottom"/>
            <w:gridSpan w:val="2"/>
          </w:tcPr>
          <w:p>
            <w:pPr>
              <w:jc w:val="right"/>
              <w:ind w:right="314"/>
              <w:spacing w:after="0"/>
              <w:rPr>
                <w:sz w:val="20"/>
                <w:szCs w:val="20"/>
                <w:color w:val="auto"/>
              </w:rPr>
            </w:pPr>
            <w:r>
              <w:rPr>
                <w:rFonts w:ascii="Times New Roman" w:cs="Times New Roman" w:eastAsia="Times New Roman" w:hAnsi="Times New Roman"/>
                <w:sz w:val="14"/>
                <w:szCs w:val="14"/>
                <w:color w:val="auto"/>
              </w:rPr>
              <w:t>Not applicable</w:t>
            </w:r>
          </w:p>
        </w:tc>
        <w:tc>
          <w:tcPr>
            <w:tcW w:w="360" w:type="dxa"/>
            <w:vAlign w:val="bottom"/>
          </w:tcPr>
          <w:p>
            <w:pPr>
              <w:spacing w:after="0"/>
              <w:rPr>
                <w:sz w:val="16"/>
                <w:szCs w:val="16"/>
                <w:color w:val="auto"/>
              </w:rPr>
            </w:pPr>
          </w:p>
        </w:tc>
        <w:tc>
          <w:tcPr>
            <w:tcW w:w="186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Not applicable</w:t>
            </w:r>
          </w:p>
        </w:tc>
        <w:tc>
          <w:tcPr>
            <w:tcW w:w="268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26,291</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32,318</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w:t>
      </w:r>
    </w:p>
    <w:p>
      <w:pPr>
        <w:spacing w:after="0" w:line="50" w:lineRule="exact"/>
        <w:rPr>
          <w:sz w:val="20"/>
          <w:szCs w:val="20"/>
          <w:color w:val="auto"/>
        </w:rPr>
      </w:pPr>
    </w:p>
    <w:p>
      <w:pPr>
        <w:ind w:left="380" w:right="100" w:hanging="375"/>
        <w:spacing w:after="0" w:line="225" w:lineRule="auto"/>
        <w:tabs>
          <w:tab w:leader="none" w:pos="37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Consists of 24,431 options outstanding and 1,860 restricted stock units awarded but not yet vested under the Company’s 2013 Incentive Compensation Plan and the Company’s 2019 Incentive Compensation Plan, respectively, as more fully described in Note 8, Capital Stock and Stock-Based Compensation Plans to the Consolidated Financial Statements.</w:t>
      </w:r>
    </w:p>
    <w:p>
      <w:pPr>
        <w:spacing w:after="0" w:line="1" w:lineRule="exact"/>
        <w:rPr>
          <w:rFonts w:ascii="Times New Roman" w:cs="Times New Roman" w:eastAsia="Times New Roman" w:hAnsi="Times New Roman"/>
          <w:sz w:val="17"/>
          <w:szCs w:val="17"/>
          <w:color w:val="auto"/>
          <w:vertAlign w:val="superscript"/>
        </w:rPr>
      </w:pPr>
    </w:p>
    <w:p>
      <w:pPr>
        <w:ind w:left="380" w:hanging="375"/>
        <w:spacing w:after="0" w:line="234" w:lineRule="auto"/>
        <w:tabs>
          <w:tab w:leader="none" w:pos="38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weighted-average exercise price of stock options outstanding of $75 and restricted stock units of $77.</w:t>
      </w:r>
    </w:p>
    <w:p>
      <w:pPr>
        <w:spacing w:after="0" w:line="50" w:lineRule="exact"/>
        <w:rPr>
          <w:rFonts w:ascii="Times New Roman" w:cs="Times New Roman" w:eastAsia="Times New Roman" w:hAnsi="Times New Roman"/>
          <w:sz w:val="17"/>
          <w:szCs w:val="17"/>
          <w:color w:val="auto"/>
          <w:vertAlign w:val="superscript"/>
        </w:rPr>
      </w:pPr>
    </w:p>
    <w:p>
      <w:pPr>
        <w:ind w:left="380" w:hanging="375"/>
        <w:spacing w:after="0" w:line="185" w:lineRule="auto"/>
        <w:tabs>
          <w:tab w:leader="none" w:pos="38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includes 22,004 options available for issuance and 10,314 restricted stock units available for issuance under the Company’s 2019 Incentive Compensation Plan.</w:t>
      </w:r>
    </w:p>
    <w:p>
      <w:pPr>
        <w:spacing w:after="0" w:line="2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regarding certain relationships and related transactions and director independence set forth in the 2023 Proxy Statement is incorporated herein by reference.</w:t>
      </w:r>
    </w:p>
    <w:p>
      <w:pPr>
        <w:spacing w:after="0" w:line="19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14.</w:t>
        <w:tab/>
        <w:t>PRINCIPAL ACCOUNTANT FEES AND SERVICES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regarding auditor fees and services set forth in the 2023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3" w:name="page64"/>
    <w:bookmarkEnd w:id="63"/>
    <w:p>
      <w:pPr>
        <w:jc w:val="right"/>
        <w:ind w:right="423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15.</w:t>
        <w:tab/>
        <w:t>EXHIBITS AND FINANCIAL STATEMENT SCHEDULES</w:t>
      </w:r>
    </w:p>
    <w:p>
      <w:pPr>
        <w:spacing w:after="0" w:line="202" w:lineRule="exact"/>
        <w:rPr>
          <w:sz w:val="20"/>
          <w:szCs w:val="20"/>
          <w:color w:val="auto"/>
        </w:rPr>
      </w:pPr>
    </w:p>
    <w:p>
      <w:pPr>
        <w:ind w:left="400" w:right="6459" w:hanging="140"/>
        <w:spacing w:after="0" w:line="521" w:lineRule="auto"/>
        <w:tabs>
          <w:tab w:leader="none" w:pos="51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and Financial Statement Schedules See “Index to Financial Statements.”</w:t>
      </w:r>
    </w:p>
    <w:p>
      <w:pPr>
        <w:spacing w:after="0" w:line="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78"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760" w:type="dxa"/>
            <w:vAlign w:val="bottom"/>
          </w:tcPr>
          <w:p>
            <w:pPr>
              <w:spacing w:after="0"/>
              <w:rPr>
                <w:sz w:val="13"/>
                <w:szCs w:val="13"/>
                <w:color w:val="auto"/>
              </w:rPr>
            </w:pPr>
          </w:p>
        </w:tc>
        <w:tc>
          <w:tcPr>
            <w:tcW w:w="982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92"/>
        </w:trPr>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9"/>
        </w:trPr>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3-A</w:t>
            </w:r>
          </w:p>
        </w:tc>
        <w:tc>
          <w:tcPr>
            <w:tcW w:w="760" w:type="dxa"/>
            <w:vAlign w:val="bottom"/>
            <w:shd w:val="clear" w:color="auto" w:fill="CCEEFF"/>
          </w:tcPr>
          <w:p>
            <w:pPr>
              <w:spacing w:after="0"/>
              <w:rPr>
                <w:sz w:val="12"/>
                <w:szCs w:val="12"/>
                <w:color w:val="auto"/>
              </w:rPr>
            </w:pP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Restated Certificate of Incorporation, as amended. (Registrant hereby incorporates by reference Exhibit 3-A to its Quarterly Report on Form 10-Q for the quarter ended June</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25"/>
            <w:shd w:val="clear" w:color="auto" w:fill="CCEEFF"/>
          </w:tcPr>
          <w:p>
            <w:pPr>
              <w:spacing w:after="0" w:line="118"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30, 2008, File No. 1-644.)</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49"/>
        </w:trPr>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3-B</w:t>
            </w:r>
          </w:p>
        </w:tc>
        <w:tc>
          <w:tcPr>
            <w:tcW w:w="760" w:type="dxa"/>
            <w:vAlign w:val="bottom"/>
            <w:shd w:val="clear" w:color="auto" w:fill="CCEEFF"/>
          </w:tcPr>
          <w:p>
            <w:pPr>
              <w:spacing w:after="0"/>
              <w:rPr>
                <w:sz w:val="12"/>
                <w:szCs w:val="12"/>
                <w:color w:val="auto"/>
              </w:rPr>
            </w:pP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Colgate-Palmolive Company By-laws, Amended and Restated as of January 12, 2023. (Registrant hereby incorporates by reference Exhibit 3.01 to its Current Report on</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560" w:type="dxa"/>
            <w:vAlign w:val="bottom"/>
            <w:tcBorders>
              <w:top w:val="single" w:sz="8" w:color="0000FF"/>
            </w:tcBorders>
            <w:gridSpan w:val="16"/>
            <w:shd w:val="clear" w:color="auto" w:fill="CCEEFF"/>
          </w:tcPr>
          <w:p>
            <w:pPr>
              <w:spacing w:after="0" w:line="118"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Form 8-K filed on January 12, 2023, File No. 1-644.)</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60"/>
        </w:trPr>
        <w:tc>
          <w:tcPr>
            <w:tcW w:w="6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982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Description of Securities of the Registrant**</w:t>
            </w: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500" w:type="dxa"/>
            <w:vAlign w:val="bottom"/>
            <w:tcBorders>
              <w:top w:val="single" w:sz="8" w:color="CCEEFF"/>
            </w:tcBorders>
          </w:tcPr>
          <w:p>
            <w:pPr>
              <w:spacing w:after="0"/>
              <w:rPr>
                <w:sz w:val="6"/>
                <w:szCs w:val="6"/>
                <w:color w:val="auto"/>
              </w:rPr>
            </w:pPr>
          </w:p>
        </w:tc>
        <w:tc>
          <w:tcPr>
            <w:tcW w:w="1000" w:type="dxa"/>
            <w:vAlign w:val="bottom"/>
            <w:tcBorders>
              <w:top w:val="single" w:sz="8" w:color="CCEEFF"/>
            </w:tcBorders>
          </w:tcPr>
          <w:p>
            <w:pPr>
              <w:spacing w:after="0"/>
              <w:rPr>
                <w:sz w:val="6"/>
                <w:szCs w:val="6"/>
                <w:color w:val="auto"/>
              </w:rPr>
            </w:pPr>
          </w:p>
        </w:tc>
        <w:tc>
          <w:tcPr>
            <w:tcW w:w="1320" w:type="dxa"/>
            <w:vAlign w:val="bottom"/>
            <w:tcBorders>
              <w:top w:val="single" w:sz="8" w:color="CCEEFF"/>
            </w:tcBorders>
          </w:tcPr>
          <w:p>
            <w:pPr>
              <w:spacing w:after="0"/>
              <w:rPr>
                <w:sz w:val="6"/>
                <w:szCs w:val="6"/>
                <w:color w:val="auto"/>
              </w:rPr>
            </w:pPr>
          </w:p>
        </w:tc>
        <w:tc>
          <w:tcPr>
            <w:tcW w:w="8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6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38"/>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b)</w:t>
            </w:r>
          </w:p>
        </w:tc>
        <w:tc>
          <w:tcPr>
            <w:tcW w:w="9820" w:type="dxa"/>
            <w:vAlign w:val="bottom"/>
            <w:gridSpan w:val="26"/>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Indenture, dated as of November 15, 1992, between the Company and The Bank of New York Mellon (formerly known as The Bank of New York) as Trustee. (Registrant</w:t>
            </w:r>
          </w:p>
        </w:tc>
      </w:tr>
      <w:tr>
        <w:trPr>
          <w:trHeight w:val="138"/>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820" w:type="dxa"/>
            <w:vAlign w:val="bottom"/>
            <w:gridSpan w:val="26"/>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hereby incorporates by reference Exhibit 4.1 to its Registration Statement on Form S-3 and Post-Effective Amendment No. 1 filed on June 26, 1992, Registration No. 33-</w:t>
            </w:r>
          </w:p>
        </w:tc>
      </w:tr>
      <w:tr>
        <w:trPr>
          <w:trHeight w:val="191"/>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4"/>
                <w:szCs w:val="14"/>
                <w:color w:val="auto"/>
              </w:rPr>
              <w:t>48840.)</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Colgate-Palmolive Company Employee Stock Ownership Trust Agreement dated as of June 1, 1989, as amended. (Registrant hereby incorporates by reference Exhibit 4-B</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20"/>
            <w:shd w:val="clear" w:color="auto" w:fill="CCEEFF"/>
          </w:tcPr>
          <w:p>
            <w:pPr>
              <w:spacing w:after="0" w:line="118" w:lineRule="exact"/>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(b) to its Quarterly Report on Form 10-Q for the quarter ended June 30, 2000, File No. 1-644.)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49"/>
        </w:trPr>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10-A</w:t>
            </w: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Colgate-Palmolive 2019 Incentive Compensation Plan. (Registrant hereby incorporates by reference Annex C to its 2019 Notice of Annual Meeting and Proxy Statement,</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620" w:type="dxa"/>
            <w:vAlign w:val="bottom"/>
            <w:tcBorders>
              <w:top w:val="single" w:sz="8" w:color="0000FF"/>
            </w:tcBorders>
            <w:gridSpan w:val="18"/>
            <w:shd w:val="clear" w:color="auto" w:fill="CCEEFF"/>
          </w:tcPr>
          <w:p>
            <w:pPr>
              <w:spacing w:after="0" w:line="118" w:lineRule="exact"/>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File No. 1-644.)*</w:t>
              </w:r>
            </w:hyperlink>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CCEEFF"/>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900" w:type="dxa"/>
            <w:vAlign w:val="bottom"/>
            <w:tcBorders>
              <w:top w:val="single" w:sz="8" w:color="CCEEFF"/>
            </w:tcBorders>
          </w:tcPr>
          <w:p>
            <w:pPr>
              <w:spacing w:after="0"/>
              <w:rPr>
                <w:sz w:val="6"/>
                <w:szCs w:val="6"/>
                <w:color w:val="auto"/>
              </w:rPr>
            </w:pPr>
          </w:p>
        </w:tc>
        <w:tc>
          <w:tcPr>
            <w:tcW w:w="500" w:type="dxa"/>
            <w:vAlign w:val="bottom"/>
            <w:tcBorders>
              <w:top w:val="single" w:sz="8" w:color="CCEEFF"/>
            </w:tcBorders>
          </w:tcPr>
          <w:p>
            <w:pPr>
              <w:spacing w:after="0"/>
              <w:rPr>
                <w:sz w:val="6"/>
                <w:szCs w:val="6"/>
                <w:color w:val="auto"/>
              </w:rPr>
            </w:pPr>
          </w:p>
        </w:tc>
        <w:tc>
          <w:tcPr>
            <w:tcW w:w="1000" w:type="dxa"/>
            <w:vAlign w:val="bottom"/>
            <w:tcBorders>
              <w:top w:val="single" w:sz="8" w:color="CCEEFF"/>
            </w:tcBorders>
          </w:tcPr>
          <w:p>
            <w:pPr>
              <w:spacing w:after="0"/>
              <w:rPr>
                <w:sz w:val="6"/>
                <w:szCs w:val="6"/>
                <w:color w:val="auto"/>
              </w:rPr>
            </w:pPr>
          </w:p>
        </w:tc>
        <w:tc>
          <w:tcPr>
            <w:tcW w:w="1320" w:type="dxa"/>
            <w:vAlign w:val="bottom"/>
            <w:tcBorders>
              <w:top w:val="single" w:sz="8" w:color="CCEEFF"/>
            </w:tcBorders>
          </w:tcPr>
          <w:p>
            <w:pPr>
              <w:spacing w:after="0"/>
              <w:rPr>
                <w:sz w:val="6"/>
                <w:szCs w:val="6"/>
                <w:color w:val="auto"/>
              </w:rPr>
            </w:pPr>
          </w:p>
        </w:tc>
        <w:tc>
          <w:tcPr>
            <w:tcW w:w="8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6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Form of Nonqualified Option Award Agreement used in connection with grants under the Colgate-Palmolive Company 2019 Incentive Compensation Plan. (Registrant</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480" w:type="dxa"/>
            <w:vAlign w:val="bottom"/>
            <w:tcBorders>
              <w:top w:val="single" w:sz="8" w:color="0000FF"/>
            </w:tcBorders>
            <w:gridSpan w:val="14"/>
            <w:shd w:val="clear" w:color="auto" w:fill="CCEEFF"/>
          </w:tcPr>
          <w:p>
            <w:pPr>
              <w:spacing w:after="0" w:line="118"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hereby incorporates by reference Exhibit 10-C to its Quarterly Report on Form 10-Q for the quarter ended September 30, 2019, File No. 1-644.)*</w:t>
              </w:r>
            </w:hyperlink>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000" w:type="dxa"/>
            <w:vAlign w:val="bottom"/>
            <w:tcBorders>
              <w:top w:val="single" w:sz="8" w:color="0000FF"/>
            </w:tcBorders>
          </w:tcPr>
          <w:p>
            <w:pPr>
              <w:spacing w:after="0"/>
              <w:rPr>
                <w:sz w:val="6"/>
                <w:szCs w:val="6"/>
                <w:color w:val="auto"/>
              </w:rPr>
            </w:pPr>
          </w:p>
        </w:tc>
        <w:tc>
          <w:tcPr>
            <w:tcW w:w="1320" w:type="dxa"/>
            <w:vAlign w:val="bottom"/>
            <w:tcBorders>
              <w:top w:val="single" w:sz="8" w:color="0000FF"/>
            </w:tcBorders>
          </w:tcPr>
          <w:p>
            <w:pPr>
              <w:spacing w:after="0"/>
              <w:rPr>
                <w:sz w:val="6"/>
                <w:szCs w:val="6"/>
                <w:color w:val="auto"/>
              </w:rPr>
            </w:pPr>
          </w:p>
        </w:tc>
        <w:tc>
          <w:tcPr>
            <w:tcW w:w="88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1680" w:type="dxa"/>
            <w:vAlign w:val="bottom"/>
            <w:tcBorders>
              <w:top w:val="single" w:sz="8" w:color="0000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Form of Restricted Stock Unit Award Agreement used in connection with grants under the Colgate-Palmolive Company 2019 Incentive Compensation Plan. (Registrant</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520" w:type="dxa"/>
            <w:vAlign w:val="bottom"/>
            <w:tcBorders>
              <w:top w:val="single" w:sz="8" w:color="0000FF"/>
            </w:tcBorders>
            <w:gridSpan w:val="15"/>
            <w:shd w:val="clear" w:color="auto" w:fill="CCEEFF"/>
          </w:tcPr>
          <w:p>
            <w:pPr>
              <w:spacing w:after="0" w:line="118" w:lineRule="exact"/>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hereby incorporates by reference Exhibit 10-D to its Quarterly Report on Form 10-Q for the quarter ended September 30, 2019, File No. 1-644.)*</w:t>
              </w:r>
            </w:hyperlink>
          </w:p>
        </w:tc>
        <w:tc>
          <w:tcPr>
            <w:tcW w:w="6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000" w:type="dxa"/>
            <w:vAlign w:val="bottom"/>
            <w:tcBorders>
              <w:top w:val="single" w:sz="8" w:color="0000FF"/>
            </w:tcBorders>
          </w:tcPr>
          <w:p>
            <w:pPr>
              <w:spacing w:after="0"/>
              <w:rPr>
                <w:sz w:val="6"/>
                <w:szCs w:val="6"/>
                <w:color w:val="auto"/>
              </w:rPr>
            </w:pPr>
          </w:p>
        </w:tc>
        <w:tc>
          <w:tcPr>
            <w:tcW w:w="1320" w:type="dxa"/>
            <w:vAlign w:val="bottom"/>
            <w:tcBorders>
              <w:top w:val="single" w:sz="8" w:color="0000FF"/>
            </w:tcBorders>
          </w:tcPr>
          <w:p>
            <w:pPr>
              <w:spacing w:after="0"/>
              <w:rPr>
                <w:sz w:val="6"/>
                <w:szCs w:val="6"/>
                <w:color w:val="auto"/>
              </w:rPr>
            </w:pPr>
          </w:p>
        </w:tc>
        <w:tc>
          <w:tcPr>
            <w:tcW w:w="88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168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Form of Performance Stock Unit Award Agreement for the 2020-2022 Performance Cycle (Registrant hereby incorporates by reference Exhibit 10-A to its Quarterly Report</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4"/>
            <w:shd w:val="clear" w:color="auto" w:fill="CCEEFF"/>
          </w:tcPr>
          <w:p>
            <w:pPr>
              <w:spacing w:after="0" w:line="118" w:lineRule="exact"/>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on Form 10-Q for the quarter ended March 31, 2020, File No. 1-644.)*</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000" w:type="dxa"/>
            <w:vAlign w:val="bottom"/>
            <w:tcBorders>
              <w:top w:val="single" w:sz="8" w:color="0000FF"/>
            </w:tcBorders>
          </w:tcPr>
          <w:p>
            <w:pPr>
              <w:spacing w:after="0"/>
              <w:rPr>
                <w:sz w:val="6"/>
                <w:szCs w:val="6"/>
                <w:color w:val="auto"/>
              </w:rPr>
            </w:pPr>
          </w:p>
        </w:tc>
        <w:tc>
          <w:tcPr>
            <w:tcW w:w="1320" w:type="dxa"/>
            <w:vAlign w:val="bottom"/>
            <w:tcBorders>
              <w:top w:val="single" w:sz="8" w:color="CCEEFF"/>
            </w:tcBorders>
          </w:tcPr>
          <w:p>
            <w:pPr>
              <w:spacing w:after="0"/>
              <w:rPr>
                <w:sz w:val="6"/>
                <w:szCs w:val="6"/>
                <w:color w:val="auto"/>
              </w:rPr>
            </w:pPr>
          </w:p>
        </w:tc>
        <w:tc>
          <w:tcPr>
            <w:tcW w:w="8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6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Form of Performance Stock Unit Award Agreement for the 2021-2023 Performance Cycle (Registrant hereby incorporates by reference Exhibit 10-A to its Quarterly Report</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4"/>
            <w:shd w:val="clear" w:color="auto" w:fill="CCEEFF"/>
          </w:tcPr>
          <w:p>
            <w:pPr>
              <w:spacing w:after="0" w:line="118" w:lineRule="exact"/>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on Form 10-Q for the quarter ended March 31, 2022, File No. 1-644.)*</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000" w:type="dxa"/>
            <w:vAlign w:val="bottom"/>
            <w:tcBorders>
              <w:top w:val="single" w:sz="8" w:color="0000FF"/>
            </w:tcBorders>
          </w:tcPr>
          <w:p>
            <w:pPr>
              <w:spacing w:after="0"/>
              <w:rPr>
                <w:sz w:val="6"/>
                <w:szCs w:val="6"/>
                <w:color w:val="auto"/>
              </w:rPr>
            </w:pPr>
          </w:p>
        </w:tc>
        <w:tc>
          <w:tcPr>
            <w:tcW w:w="1320" w:type="dxa"/>
            <w:vAlign w:val="bottom"/>
            <w:tcBorders>
              <w:top w:val="single" w:sz="8" w:color="CCEEFF"/>
            </w:tcBorders>
          </w:tcPr>
          <w:p>
            <w:pPr>
              <w:spacing w:after="0"/>
              <w:rPr>
                <w:sz w:val="6"/>
                <w:szCs w:val="6"/>
                <w:color w:val="auto"/>
              </w:rPr>
            </w:pPr>
          </w:p>
        </w:tc>
        <w:tc>
          <w:tcPr>
            <w:tcW w:w="8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6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Form of Performance Stock Unit Award Agreement for the 2022-2024 Performance Cycle (Registrant hereby incorporates by reference Exhibit 10-B to its Quarterly Report</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3"/>
            <w:shd w:val="clear" w:color="auto" w:fill="CCEEFF"/>
          </w:tcPr>
          <w:p>
            <w:pPr>
              <w:spacing w:after="0" w:line="118" w:lineRule="exact"/>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on Form 10-Q for the quarter ended March 31, 2022, File No. 1-644.)*</w:t>
              </w:r>
            </w:hyperlink>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000" w:type="dxa"/>
            <w:vAlign w:val="bottom"/>
            <w:tcBorders>
              <w:top w:val="single" w:sz="8" w:color="0000FF"/>
            </w:tcBorders>
          </w:tcPr>
          <w:p>
            <w:pPr>
              <w:spacing w:after="0"/>
              <w:rPr>
                <w:sz w:val="6"/>
                <w:szCs w:val="6"/>
                <w:color w:val="auto"/>
              </w:rPr>
            </w:pPr>
          </w:p>
        </w:tc>
        <w:tc>
          <w:tcPr>
            <w:tcW w:w="1320" w:type="dxa"/>
            <w:vAlign w:val="bottom"/>
            <w:tcBorders>
              <w:top w:val="single" w:sz="8" w:color="CCEEFF"/>
            </w:tcBorders>
          </w:tcPr>
          <w:p>
            <w:pPr>
              <w:spacing w:after="0"/>
              <w:rPr>
                <w:sz w:val="6"/>
                <w:szCs w:val="6"/>
                <w:color w:val="auto"/>
              </w:rPr>
            </w:pPr>
          </w:p>
        </w:tc>
        <w:tc>
          <w:tcPr>
            <w:tcW w:w="8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6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10-B</w:t>
            </w: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Colgate-Palmolive Company 2013 Incentive Compensation Plan. (Registrant hereby incorporates by reference Annex B to its 2013 Notice of Annual Meeting and Proxy</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FF"/>
            </w:tcBorders>
            <w:gridSpan w:val="17"/>
            <w:shd w:val="clear" w:color="auto" w:fill="CCEEFF"/>
          </w:tcPr>
          <w:p>
            <w:pPr>
              <w:spacing w:after="0" w:line="118" w:lineRule="exact"/>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Statement, File No. 1-644.)*</w:t>
              </w:r>
            </w:hyperlink>
          </w:p>
        </w:tc>
        <w:tc>
          <w:tcPr>
            <w:tcW w:w="10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900" w:type="dxa"/>
            <w:vAlign w:val="bottom"/>
            <w:tcBorders>
              <w:top w:val="single" w:sz="8" w:color="CCEEFF"/>
            </w:tcBorders>
          </w:tcPr>
          <w:p>
            <w:pPr>
              <w:spacing w:after="0"/>
              <w:rPr>
                <w:sz w:val="6"/>
                <w:szCs w:val="6"/>
                <w:color w:val="auto"/>
              </w:rPr>
            </w:pPr>
          </w:p>
        </w:tc>
        <w:tc>
          <w:tcPr>
            <w:tcW w:w="500" w:type="dxa"/>
            <w:vAlign w:val="bottom"/>
            <w:tcBorders>
              <w:top w:val="single" w:sz="8" w:color="CCEEFF"/>
            </w:tcBorders>
          </w:tcPr>
          <w:p>
            <w:pPr>
              <w:spacing w:after="0"/>
              <w:rPr>
                <w:sz w:val="6"/>
                <w:szCs w:val="6"/>
                <w:color w:val="auto"/>
              </w:rPr>
            </w:pPr>
          </w:p>
        </w:tc>
        <w:tc>
          <w:tcPr>
            <w:tcW w:w="1000" w:type="dxa"/>
            <w:vAlign w:val="bottom"/>
            <w:tcBorders>
              <w:top w:val="single" w:sz="8" w:color="CCEEFF"/>
            </w:tcBorders>
          </w:tcPr>
          <w:p>
            <w:pPr>
              <w:spacing w:after="0"/>
              <w:rPr>
                <w:sz w:val="6"/>
                <w:szCs w:val="6"/>
                <w:color w:val="auto"/>
              </w:rPr>
            </w:pPr>
          </w:p>
        </w:tc>
        <w:tc>
          <w:tcPr>
            <w:tcW w:w="1320" w:type="dxa"/>
            <w:vAlign w:val="bottom"/>
            <w:tcBorders>
              <w:top w:val="single" w:sz="8" w:color="CCEEFF"/>
            </w:tcBorders>
          </w:tcPr>
          <w:p>
            <w:pPr>
              <w:spacing w:after="0"/>
              <w:rPr>
                <w:sz w:val="6"/>
                <w:szCs w:val="6"/>
                <w:color w:val="auto"/>
              </w:rPr>
            </w:pPr>
          </w:p>
        </w:tc>
        <w:tc>
          <w:tcPr>
            <w:tcW w:w="8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6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Form of Nonqualified Option Award Agreement used in connection with grants under the 2013 Incentive Compensation Plan. (Registrant hereby incorporates by reference</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0000FF"/>
            </w:tcBorders>
            <w:gridSpan w:val="19"/>
            <w:shd w:val="clear" w:color="auto" w:fill="CCEEFF"/>
          </w:tcPr>
          <w:p>
            <w:pPr>
              <w:spacing w:after="0" w:line="118" w:lineRule="exact"/>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Exhibit 10-A (b) to its Annual Report on Form 10-K for the year ended December 31, 2017, File No. 1-644.)*</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000" w:type="dxa"/>
            <w:vAlign w:val="bottom"/>
            <w:tcBorders>
              <w:top w:val="single" w:sz="8" w:color="0000FF"/>
            </w:tcBorders>
          </w:tcPr>
          <w:p>
            <w:pPr>
              <w:spacing w:after="0"/>
              <w:rPr>
                <w:sz w:val="6"/>
                <w:szCs w:val="6"/>
                <w:color w:val="auto"/>
              </w:rPr>
            </w:pPr>
          </w:p>
        </w:tc>
        <w:tc>
          <w:tcPr>
            <w:tcW w:w="1320" w:type="dxa"/>
            <w:vAlign w:val="bottom"/>
            <w:tcBorders>
              <w:top w:val="single" w:sz="8" w:color="0000FF"/>
            </w:tcBorders>
          </w:tcPr>
          <w:p>
            <w:pPr>
              <w:spacing w:after="0"/>
              <w:rPr>
                <w:sz w:val="6"/>
                <w:szCs w:val="6"/>
                <w:color w:val="auto"/>
              </w:rPr>
            </w:pPr>
          </w:p>
        </w:tc>
        <w:tc>
          <w:tcPr>
            <w:tcW w:w="88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6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Form of Restricted Stock Unit Award Agreement used in connection with grants under the 2013 Incentive Compensation Plan. (Registrant hereby incorporates by reference</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22"/>
            <w:shd w:val="clear" w:color="auto" w:fill="CCEEFF"/>
          </w:tcPr>
          <w:p>
            <w:pPr>
              <w:spacing w:after="0" w:line="118"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Exhibit 10-A (c) to its Annual Report on Form 10-K for the year ended December 31, 2017, File No. 1-644.)*</w:t>
              </w:r>
            </w:hyperlink>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74"/>
        </w:trPr>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500" w:type="dxa"/>
            <w:vAlign w:val="bottom"/>
            <w:tcBorders>
              <w:top w:val="single" w:sz="8" w:color="0000FF"/>
            </w:tcBorders>
          </w:tcPr>
          <w:p>
            <w:pPr>
              <w:spacing w:after="0"/>
              <w:rPr>
                <w:sz w:val="6"/>
                <w:szCs w:val="6"/>
                <w:color w:val="auto"/>
              </w:rPr>
            </w:pPr>
          </w:p>
        </w:tc>
        <w:tc>
          <w:tcPr>
            <w:tcW w:w="1000" w:type="dxa"/>
            <w:vAlign w:val="bottom"/>
            <w:tcBorders>
              <w:top w:val="single" w:sz="8" w:color="0000FF"/>
            </w:tcBorders>
          </w:tcPr>
          <w:p>
            <w:pPr>
              <w:spacing w:after="0"/>
              <w:rPr>
                <w:sz w:val="6"/>
                <w:szCs w:val="6"/>
                <w:color w:val="auto"/>
              </w:rPr>
            </w:pPr>
          </w:p>
        </w:tc>
        <w:tc>
          <w:tcPr>
            <w:tcW w:w="1320" w:type="dxa"/>
            <w:vAlign w:val="bottom"/>
            <w:tcBorders>
              <w:top w:val="single" w:sz="8" w:color="0000FF"/>
            </w:tcBorders>
          </w:tcPr>
          <w:p>
            <w:pPr>
              <w:spacing w:after="0"/>
              <w:rPr>
                <w:sz w:val="6"/>
                <w:szCs w:val="6"/>
                <w:color w:val="auto"/>
              </w:rPr>
            </w:pPr>
          </w:p>
        </w:tc>
        <w:tc>
          <w:tcPr>
            <w:tcW w:w="880" w:type="dxa"/>
            <w:vAlign w:val="bottom"/>
            <w:tcBorders>
              <w:top w:val="single" w:sz="8" w:color="0000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6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38"/>
        </w:trPr>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10-C</w:t>
            </w:r>
          </w:p>
        </w:tc>
        <w:tc>
          <w:tcPr>
            <w:tcW w:w="760" w:type="dxa"/>
            <w:vAlign w:val="bottom"/>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a)</w:t>
            </w:r>
          </w:p>
        </w:tc>
        <w:tc>
          <w:tcPr>
            <w:tcW w:w="9820" w:type="dxa"/>
            <w:vAlign w:val="bottom"/>
            <w:gridSpan w:val="26"/>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Colgate-Palmolive Company Executive Incentive Compensation Plan Trust, as amended. (Registrant hereby incorporates by reference Exhibit 10-B (b) to its Annual Report</w:t>
            </w:r>
          </w:p>
        </w:tc>
      </w:tr>
      <w:tr>
        <w:trPr>
          <w:trHeight w:val="191"/>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8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4"/>
                <w:szCs w:val="14"/>
                <w:color w:val="auto"/>
              </w:rPr>
              <w:t>on Form 10-K for the year ended December 31, 1987, File No. 1-644.)*</w:t>
            </w: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w:t>
            </w:r>
          </w:p>
        </w:tc>
        <w:tc>
          <w:tcPr>
            <w:tcW w:w="9820" w:type="dxa"/>
            <w:vAlign w:val="bottom"/>
            <w:gridSpan w:val="26"/>
            <w:shd w:val="clear" w:color="auto" w:fill="CCEEFF"/>
          </w:tcPr>
          <w:p>
            <w:pPr>
              <w:spacing w:after="0" w:line="149" w:lineRule="exact"/>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Amendment, dated as of October 29, 2007, to the Colgate-Palmolive Company Executive Incentive Compensation Plan Trust. (Registrant hereby incorporates by reference</w:t>
              </w:r>
            </w:hyperlink>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21"/>
            <w:shd w:val="clear" w:color="auto" w:fill="CCEEFF"/>
          </w:tcPr>
          <w:p>
            <w:pPr>
              <w:spacing w:after="0" w:line="118" w:lineRule="exact"/>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Exhibit 10-A (b) to its Quarterly Report on Form 10-Q for the quarter ended September 30, 2007, File No. 1-644.)*</w:t>
              </w:r>
            </w:hyperlink>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891"/>
        </w:trPr>
        <w:tc>
          <w:tcPr>
            <w:tcW w:w="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5340" w:type="dxa"/>
            <w:vAlign w:val="bottom"/>
            <w:tcBorders>
              <w:top w:val="single" w:sz="8" w:color="0000FF"/>
            </w:tcBorders>
            <w:gridSpan w:val="8"/>
          </w:tcPr>
          <w:p>
            <w:pPr>
              <w:ind w:left="4100"/>
              <w:spacing w:after="0"/>
              <w:rPr>
                <w:sz w:val="20"/>
                <w:szCs w:val="20"/>
                <w:color w:val="auto"/>
              </w:rPr>
            </w:pPr>
            <w:r>
              <w:rPr>
                <w:rFonts w:ascii="Times New Roman" w:cs="Times New Roman" w:eastAsia="Times New Roman" w:hAnsi="Times New Roman"/>
                <w:sz w:val="14"/>
                <w:szCs w:val="14"/>
                <w:color w:val="auto"/>
              </w:rPr>
              <w:t>63</w:t>
            </w:r>
          </w:p>
        </w:tc>
        <w:tc>
          <w:tcPr>
            <w:tcW w:w="8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5"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10-D</w:t>
            </w:r>
          </w:p>
        </w:tc>
        <w:tc>
          <w:tcPr>
            <w:tcW w:w="940" w:type="dxa"/>
            <w:vAlign w:val="bottom"/>
            <w:shd w:val="clear" w:color="auto" w:fill="CCEEFF"/>
          </w:tcPr>
          <w:p>
            <w:pPr>
              <w:spacing w:after="0"/>
              <w:rPr>
                <w:sz w:val="13"/>
                <w:szCs w:val="13"/>
                <w:color w:val="auto"/>
              </w:rPr>
            </w:pPr>
          </w:p>
        </w:tc>
        <w:tc>
          <w:tcPr>
            <w:tcW w:w="9840" w:type="dxa"/>
            <w:vAlign w:val="bottom"/>
            <w:gridSpan w:val="27"/>
            <w:shd w:val="clear" w:color="auto" w:fill="CCEEFF"/>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Colgate-Palmolive Company Supplemental Salaried Employees’ Retirement Plan, amended and restated, effective as of January 1, 2021. (Registrant hereby incorporates by</w:t>
              </w:r>
            </w:hyperlink>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4"/>
            <w:shd w:val="clear" w:color="auto" w:fill="CCEEFF"/>
          </w:tcPr>
          <w:p>
            <w:pPr>
              <w:spacing w:after="0" w:line="118" w:lineRule="exact"/>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reference Exhibit 10-D to its Annual Report on Form 10-K for the year ended December 31, 2021, File No. 1-644.)*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74"/>
        </w:trPr>
        <w:tc>
          <w:tcPr>
            <w:tcW w:w="540" w:type="dxa"/>
            <w:vAlign w:val="bottom"/>
            <w:tcBorders>
              <w:top w:val="single" w:sz="8" w:color="CCEEFF"/>
            </w:tcBorders>
          </w:tcPr>
          <w:p>
            <w:pPr>
              <w:spacing w:after="0"/>
              <w:rPr>
                <w:sz w:val="6"/>
                <w:szCs w:val="6"/>
                <w:color w:val="auto"/>
              </w:rPr>
            </w:pPr>
          </w:p>
        </w:tc>
        <w:tc>
          <w:tcPr>
            <w:tcW w:w="940" w:type="dxa"/>
            <w:vAlign w:val="bottom"/>
            <w:tcBorders>
              <w:top w:val="single" w:sz="8" w:color="CCEEFF"/>
            </w:tcBorders>
          </w:tcPr>
          <w:p>
            <w:pPr>
              <w:spacing w:after="0"/>
              <w:rPr>
                <w:sz w:val="6"/>
                <w:szCs w:val="6"/>
                <w:color w:val="auto"/>
              </w:rPr>
            </w:pPr>
          </w:p>
        </w:tc>
        <w:tc>
          <w:tcPr>
            <w:tcW w:w="8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7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20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5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10-E</w:t>
            </w:r>
          </w:p>
        </w:tc>
        <w:tc>
          <w:tcPr>
            <w:tcW w:w="9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9840" w:type="dxa"/>
            <w:vAlign w:val="bottom"/>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Colgate-Palmolive Company Executive Severance Plan, as amended and restated through September 13, 2018. (Registrant hereby incorporates by reference Exhibit 10-A to</w:t>
              </w:r>
            </w:hyperlink>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25"/>
            <w:shd w:val="clear" w:color="auto" w:fill="CCEEFF"/>
          </w:tcPr>
          <w:p>
            <w:pPr>
              <w:spacing w:after="0" w:line="118" w:lineRule="exact"/>
              <w:rPr>
                <w:rFonts w:ascii="Times New Roman" w:cs="Times New Roman" w:eastAsia="Times New Roman" w:hAnsi="Times New Roman"/>
                <w:sz w:val="13"/>
                <w:szCs w:val="13"/>
                <w:color w:val="0000FF"/>
              </w:rPr>
            </w:pPr>
            <w:hyperlink r:id="rId94">
              <w:r>
                <w:rPr>
                  <w:rFonts w:ascii="Times New Roman" w:cs="Times New Roman" w:eastAsia="Times New Roman" w:hAnsi="Times New Roman"/>
                  <w:sz w:val="13"/>
                  <w:szCs w:val="13"/>
                  <w:color w:val="0000FF"/>
                </w:rPr>
                <w:t>its Current Report on Form 8-K filed on September 18, 2018, File No. 1-644.)*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74"/>
        </w:trPr>
        <w:tc>
          <w:tcPr>
            <w:tcW w:w="540" w:type="dxa"/>
            <w:vAlign w:val="bottom"/>
            <w:tcBorders>
              <w:top w:val="single" w:sz="8" w:color="CCEEFF"/>
            </w:tcBorders>
          </w:tcPr>
          <w:p>
            <w:pPr>
              <w:spacing w:after="0"/>
              <w:rPr>
                <w:sz w:val="6"/>
                <w:szCs w:val="6"/>
                <w:color w:val="auto"/>
              </w:rPr>
            </w:pPr>
          </w:p>
        </w:tc>
        <w:tc>
          <w:tcPr>
            <w:tcW w:w="940" w:type="dxa"/>
            <w:vAlign w:val="bottom"/>
            <w:tcBorders>
              <w:top w:val="single" w:sz="8" w:color="CCEEFF"/>
            </w:tcBorders>
          </w:tcPr>
          <w:p>
            <w:pPr>
              <w:spacing w:after="0"/>
              <w:rPr>
                <w:sz w:val="6"/>
                <w:szCs w:val="6"/>
                <w:color w:val="auto"/>
              </w:rPr>
            </w:pPr>
          </w:p>
        </w:tc>
        <w:tc>
          <w:tcPr>
            <w:tcW w:w="8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7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200" w:type="dxa"/>
            <w:vAlign w:val="bottom"/>
            <w:tcBorders>
              <w:top w:val="single" w:sz="8" w:color="CCEEFF"/>
            </w:tcBorders>
          </w:tcPr>
          <w:p>
            <w:pPr>
              <w:spacing w:after="0"/>
              <w:rPr>
                <w:sz w:val="6"/>
                <w:szCs w:val="6"/>
                <w:color w:val="auto"/>
              </w:rPr>
            </w:pPr>
          </w:p>
        </w:tc>
        <w:tc>
          <w:tcPr>
            <w:tcW w:w="340" w:type="dxa"/>
            <w:vAlign w:val="bottom"/>
            <w:tcBorders>
              <w:top w:val="single" w:sz="8" w:color="CCEEFF"/>
            </w:tcBorders>
          </w:tcPr>
          <w:p>
            <w:pPr>
              <w:spacing w:after="0"/>
              <w:rPr>
                <w:sz w:val="6"/>
                <w:szCs w:val="6"/>
                <w:color w:val="auto"/>
              </w:rPr>
            </w:pPr>
          </w:p>
        </w:tc>
        <w:tc>
          <w:tcPr>
            <w:tcW w:w="56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5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38"/>
        </w:trPr>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b)</w:t>
            </w:r>
          </w:p>
        </w:tc>
        <w:tc>
          <w:tcPr>
            <w:tcW w:w="9840" w:type="dxa"/>
            <w:vAlign w:val="bottom"/>
            <w:gridSpan w:val="27"/>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Colgate-Palmolive Company Executive Severance Plan Trust. (Registrant hereby incorporates by reference Exhibit 10-E (b) to its Annual Report on Form 10-K for the year</w:t>
            </w:r>
          </w:p>
        </w:tc>
      </w:tr>
      <w:tr>
        <w:trPr>
          <w:trHeight w:val="191"/>
        </w:trPr>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4"/>
                <w:szCs w:val="14"/>
                <w:color w:val="auto"/>
              </w:rPr>
              <w:t>ended December 31, 1987, File No. 1-644.)*</w:t>
            </w:r>
          </w:p>
        </w:tc>
      </w:tr>
      <w:tr>
        <w:trPr>
          <w:trHeight w:val="74"/>
        </w:trPr>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49"/>
        </w:trPr>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9840" w:type="dxa"/>
            <w:vAlign w:val="bottom"/>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Colgate-Palmolive Company Executive Officer Cash Severance Policy. (registrant hereby incorporates by reference Exhibit 10.1 to its Current Report on Form 8-K filed on</w:t>
              </w:r>
            </w:hyperlink>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3"/>
            <w:shd w:val="clear" w:color="auto" w:fill="CCEEFF"/>
          </w:tcPr>
          <w:p>
            <w:pPr>
              <w:spacing w:after="0" w:line="118" w:lineRule="exact"/>
              <w:rPr>
                <w:rFonts w:ascii="Times New Roman" w:cs="Times New Roman" w:eastAsia="Times New Roman" w:hAnsi="Times New Roman"/>
                <w:sz w:val="13"/>
                <w:szCs w:val="13"/>
                <w:color w:val="0000FF"/>
              </w:rPr>
            </w:pPr>
            <w:hyperlink r:id="rId95">
              <w:r>
                <w:rPr>
                  <w:rFonts w:ascii="Times New Roman" w:cs="Times New Roman" w:eastAsia="Times New Roman" w:hAnsi="Times New Roman"/>
                  <w:sz w:val="13"/>
                  <w:szCs w:val="13"/>
                  <w:color w:val="0000FF"/>
                </w:rPr>
                <w:t>April 11, 2022, File No 1-644.)*</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80"/>
        </w:trPr>
        <w:tc>
          <w:tcPr>
            <w:tcW w:w="5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7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49"/>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10-F</w:t>
            </w:r>
          </w:p>
        </w:tc>
        <w:tc>
          <w:tcPr>
            <w:tcW w:w="940" w:type="dxa"/>
            <w:vAlign w:val="bottom"/>
            <w:shd w:val="clear" w:color="auto" w:fill="CCEEFF"/>
          </w:tcPr>
          <w:p>
            <w:pPr>
              <w:spacing w:after="0"/>
              <w:rPr>
                <w:sz w:val="12"/>
                <w:szCs w:val="12"/>
                <w:color w:val="auto"/>
              </w:rPr>
            </w:pPr>
          </w:p>
        </w:tc>
        <w:tc>
          <w:tcPr>
            <w:tcW w:w="9840" w:type="dxa"/>
            <w:vAlign w:val="bottom"/>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Colgate-Palmolive Company Pension Plan for Outside Directors, as amended and restated. (Registrant hereby incorporates by reference Exhibit 10-D to its Annual Report</w:t>
              </w:r>
            </w:hyperlink>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0000FF"/>
            </w:tcBorders>
            <w:gridSpan w:val="19"/>
            <w:shd w:val="clear" w:color="auto" w:fill="CCEEFF"/>
          </w:tcPr>
          <w:p>
            <w:pPr>
              <w:spacing w:after="0" w:line="118" w:lineRule="exact"/>
              <w:rPr>
                <w:rFonts w:ascii="Times New Roman" w:cs="Times New Roman" w:eastAsia="Times New Roman" w:hAnsi="Times New Roman"/>
                <w:sz w:val="13"/>
                <w:szCs w:val="13"/>
                <w:color w:val="0000FF"/>
              </w:rPr>
            </w:pPr>
            <w:hyperlink r:id="rId96">
              <w:r>
                <w:rPr>
                  <w:rFonts w:ascii="Times New Roman" w:cs="Times New Roman" w:eastAsia="Times New Roman" w:hAnsi="Times New Roman"/>
                  <w:sz w:val="13"/>
                  <w:szCs w:val="13"/>
                  <w:color w:val="0000FF"/>
                </w:rPr>
                <w:t>on Form 10-K for the year ended December 31, 1999, File No. 1-644.)*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80"/>
        </w:trPr>
        <w:tc>
          <w:tcPr>
            <w:tcW w:w="5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7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49"/>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10-G</w:t>
            </w:r>
          </w:p>
        </w:tc>
        <w:tc>
          <w:tcPr>
            <w:tcW w:w="9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9840" w:type="dxa"/>
            <w:vAlign w:val="bottom"/>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Colgate-Palmolive Company Restated and Amended Deferred Compensation Plan for Non-Employee Directors, as amended. (Registrant hereby incorporates by reference</w:t>
              </w:r>
            </w:hyperlink>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660" w:type="dxa"/>
            <w:vAlign w:val="bottom"/>
            <w:tcBorders>
              <w:top w:val="single" w:sz="8" w:color="0000FF"/>
            </w:tcBorders>
            <w:gridSpan w:val="18"/>
            <w:shd w:val="clear" w:color="auto" w:fill="CCEEFF"/>
          </w:tcPr>
          <w:p>
            <w:pPr>
              <w:spacing w:after="0" w:line="118" w:lineRule="exact"/>
              <w:rPr>
                <w:rFonts w:ascii="Times New Roman" w:cs="Times New Roman" w:eastAsia="Times New Roman" w:hAnsi="Times New Roman"/>
                <w:sz w:val="13"/>
                <w:szCs w:val="13"/>
                <w:color w:val="0000FF"/>
              </w:rPr>
            </w:pPr>
            <w:hyperlink r:id="rId97">
              <w:r>
                <w:rPr>
                  <w:rFonts w:ascii="Times New Roman" w:cs="Times New Roman" w:eastAsia="Times New Roman" w:hAnsi="Times New Roman"/>
                  <w:sz w:val="13"/>
                  <w:szCs w:val="13"/>
                  <w:color w:val="0000FF"/>
                </w:rPr>
                <w:t>Exhibit 10-H to its Annual Report on Form 10-K for the year ended December 31, 1997, File No. 1-644.)*</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74"/>
        </w:trPr>
        <w:tc>
          <w:tcPr>
            <w:tcW w:w="540" w:type="dxa"/>
            <w:vAlign w:val="bottom"/>
            <w:tcBorders>
              <w:top w:val="single" w:sz="8" w:color="CCEEFF"/>
            </w:tcBorders>
          </w:tcPr>
          <w:p>
            <w:pPr>
              <w:spacing w:after="0"/>
              <w:rPr>
                <w:sz w:val="6"/>
                <w:szCs w:val="6"/>
                <w:color w:val="auto"/>
              </w:rPr>
            </w:pPr>
          </w:p>
        </w:tc>
        <w:tc>
          <w:tcPr>
            <w:tcW w:w="940" w:type="dxa"/>
            <w:vAlign w:val="bottom"/>
            <w:tcBorders>
              <w:top w:val="single" w:sz="8" w:color="CCEEFF"/>
            </w:tcBorders>
          </w:tcPr>
          <w:p>
            <w:pPr>
              <w:spacing w:after="0"/>
              <w:rPr>
                <w:sz w:val="6"/>
                <w:szCs w:val="6"/>
                <w:color w:val="auto"/>
              </w:rPr>
            </w:pPr>
          </w:p>
        </w:tc>
        <w:tc>
          <w:tcPr>
            <w:tcW w:w="8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7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20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56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5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b)</w:t>
            </w:r>
          </w:p>
        </w:tc>
        <w:tc>
          <w:tcPr>
            <w:tcW w:w="9840" w:type="dxa"/>
            <w:vAlign w:val="bottom"/>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Amendment, effective as of January 1, 2005, to the Colgate-Palmolive Company Restated and Amended Deferred Compensation Plan for Non-Employee Directors.</w:t>
              </w:r>
            </w:hyperlink>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300" w:type="dxa"/>
            <w:vAlign w:val="bottom"/>
            <w:tcBorders>
              <w:top w:val="single" w:sz="8" w:color="0000FF"/>
            </w:tcBorders>
            <w:gridSpan w:val="17"/>
            <w:shd w:val="clear" w:color="auto" w:fill="CCEEFF"/>
          </w:tcPr>
          <w:p>
            <w:pPr>
              <w:spacing w:after="0" w:line="118" w:lineRule="exact"/>
              <w:rPr>
                <w:rFonts w:ascii="Times New Roman" w:cs="Times New Roman" w:eastAsia="Times New Roman" w:hAnsi="Times New Roman"/>
                <w:sz w:val="13"/>
                <w:szCs w:val="13"/>
                <w:color w:val="0000FF"/>
              </w:rPr>
            </w:pPr>
            <w:hyperlink r:id="rId98">
              <w:r>
                <w:rPr>
                  <w:rFonts w:ascii="Times New Roman" w:cs="Times New Roman" w:eastAsia="Times New Roman" w:hAnsi="Times New Roman"/>
                  <w:sz w:val="13"/>
                  <w:szCs w:val="13"/>
                  <w:color w:val="0000FF"/>
                </w:rPr>
                <w:t>(Registrant hereby incorporates by reference Exhibit 10-F to its Quarterly Report on Form 10-Q for the quarter ended September 30, 2007, File No. 1-644.)*</w:t>
              </w:r>
            </w:hyperlink>
          </w:p>
        </w:tc>
        <w:tc>
          <w:tcPr>
            <w:tcW w:w="40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74"/>
        </w:trPr>
        <w:tc>
          <w:tcPr>
            <w:tcW w:w="540" w:type="dxa"/>
            <w:vAlign w:val="bottom"/>
            <w:tcBorders>
              <w:top w:val="single" w:sz="8" w:color="CCEEFF"/>
            </w:tcBorders>
          </w:tcPr>
          <w:p>
            <w:pPr>
              <w:spacing w:after="0"/>
              <w:rPr>
                <w:sz w:val="6"/>
                <w:szCs w:val="6"/>
                <w:color w:val="auto"/>
              </w:rPr>
            </w:pPr>
          </w:p>
        </w:tc>
        <w:tc>
          <w:tcPr>
            <w:tcW w:w="940" w:type="dxa"/>
            <w:vAlign w:val="bottom"/>
            <w:tcBorders>
              <w:top w:val="single" w:sz="8" w:color="CCEEFF"/>
            </w:tcBorders>
          </w:tcPr>
          <w:p>
            <w:pPr>
              <w:spacing w:after="0"/>
              <w:rPr>
                <w:sz w:val="6"/>
                <w:szCs w:val="6"/>
                <w:color w:val="auto"/>
              </w:rPr>
            </w:pPr>
          </w:p>
        </w:tc>
        <w:tc>
          <w:tcPr>
            <w:tcW w:w="8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7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20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820" w:type="dxa"/>
            <w:vAlign w:val="bottom"/>
            <w:tcBorders>
              <w:top w:val="single" w:sz="8" w:color="0000FF"/>
            </w:tcBorders>
          </w:tcPr>
          <w:p>
            <w:pPr>
              <w:spacing w:after="0"/>
              <w:rPr>
                <w:sz w:val="6"/>
                <w:szCs w:val="6"/>
                <w:color w:val="auto"/>
              </w:rPr>
            </w:pPr>
          </w:p>
        </w:tc>
        <w:tc>
          <w:tcPr>
            <w:tcW w:w="82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10-H</w:t>
            </w:r>
          </w:p>
        </w:tc>
        <w:tc>
          <w:tcPr>
            <w:tcW w:w="940" w:type="dxa"/>
            <w:vAlign w:val="bottom"/>
            <w:shd w:val="clear" w:color="auto" w:fill="CCEEFF"/>
          </w:tcPr>
          <w:p>
            <w:pPr>
              <w:spacing w:after="0"/>
              <w:rPr>
                <w:sz w:val="12"/>
                <w:szCs w:val="12"/>
                <w:color w:val="auto"/>
              </w:rPr>
            </w:pPr>
          </w:p>
        </w:tc>
        <w:tc>
          <w:tcPr>
            <w:tcW w:w="9840" w:type="dxa"/>
            <w:vAlign w:val="bottom"/>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Colgate-Palmolive Company Deferred Compensation Plan, amended and restated, effective as of October 28, 2021. (Registrant hereby incorporates by reference Exhibit 10-</w:t>
              </w:r>
            </w:hyperlink>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26"/>
            <w:shd w:val="clear" w:color="auto" w:fill="CCEEFF"/>
          </w:tcPr>
          <w:p>
            <w:pPr>
              <w:spacing w:after="0" w:line="118" w:lineRule="exact"/>
              <w:rPr>
                <w:rFonts w:ascii="Times New Roman" w:cs="Times New Roman" w:eastAsia="Times New Roman" w:hAnsi="Times New Roman"/>
                <w:sz w:val="13"/>
                <w:szCs w:val="13"/>
                <w:color w:val="0000FF"/>
              </w:rPr>
            </w:pPr>
            <w:hyperlink r:id="rId99">
              <w:r>
                <w:rPr>
                  <w:rFonts w:ascii="Times New Roman" w:cs="Times New Roman" w:eastAsia="Times New Roman" w:hAnsi="Times New Roman"/>
                  <w:sz w:val="13"/>
                  <w:szCs w:val="13"/>
                  <w:color w:val="0000FF"/>
                </w:rPr>
                <w:t>B to its Quarterly Report on Form 10-Q for the quarter ended September 30, 2021, File No. 1-644.)*</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74"/>
        </w:trPr>
        <w:tc>
          <w:tcPr>
            <w:tcW w:w="540" w:type="dxa"/>
            <w:vAlign w:val="bottom"/>
            <w:tcBorders>
              <w:top w:val="single" w:sz="8" w:color="CCEEFF"/>
            </w:tcBorders>
          </w:tcPr>
          <w:p>
            <w:pPr>
              <w:spacing w:after="0"/>
              <w:rPr>
                <w:sz w:val="6"/>
                <w:szCs w:val="6"/>
                <w:color w:val="auto"/>
              </w:rPr>
            </w:pPr>
          </w:p>
        </w:tc>
        <w:tc>
          <w:tcPr>
            <w:tcW w:w="940" w:type="dxa"/>
            <w:vAlign w:val="bottom"/>
            <w:tcBorders>
              <w:top w:val="single" w:sz="8" w:color="CCEEFF"/>
            </w:tcBorders>
          </w:tcPr>
          <w:p>
            <w:pPr>
              <w:spacing w:after="0"/>
              <w:rPr>
                <w:sz w:val="6"/>
                <w:szCs w:val="6"/>
                <w:color w:val="auto"/>
              </w:rPr>
            </w:pPr>
          </w:p>
        </w:tc>
        <w:tc>
          <w:tcPr>
            <w:tcW w:w="8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7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200" w:type="dxa"/>
            <w:vAlign w:val="bottom"/>
            <w:tcBorders>
              <w:top w:val="single" w:sz="8" w:color="0000FF"/>
            </w:tcBorders>
          </w:tcPr>
          <w:p>
            <w:pPr>
              <w:spacing w:after="0"/>
              <w:rPr>
                <w:sz w:val="6"/>
                <w:szCs w:val="6"/>
                <w:color w:val="auto"/>
              </w:rPr>
            </w:pPr>
          </w:p>
        </w:tc>
        <w:tc>
          <w:tcPr>
            <w:tcW w:w="340" w:type="dxa"/>
            <w:vAlign w:val="bottom"/>
            <w:tcBorders>
              <w:top w:val="single" w:sz="8" w:color="CCEEFF"/>
            </w:tcBorders>
          </w:tcPr>
          <w:p>
            <w:pPr>
              <w:spacing w:after="0"/>
              <w:rPr>
                <w:sz w:val="6"/>
                <w:szCs w:val="6"/>
                <w:color w:val="auto"/>
              </w:rPr>
            </w:pPr>
          </w:p>
        </w:tc>
        <w:tc>
          <w:tcPr>
            <w:tcW w:w="56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5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10-I</w:t>
            </w:r>
          </w:p>
        </w:tc>
        <w:tc>
          <w:tcPr>
            <w:tcW w:w="940" w:type="dxa"/>
            <w:vAlign w:val="bottom"/>
            <w:shd w:val="clear" w:color="auto" w:fill="CCEEFF"/>
          </w:tcPr>
          <w:p>
            <w:pPr>
              <w:spacing w:after="0"/>
              <w:rPr>
                <w:sz w:val="12"/>
                <w:szCs w:val="12"/>
                <w:color w:val="auto"/>
              </w:rPr>
            </w:pPr>
          </w:p>
        </w:tc>
        <w:tc>
          <w:tcPr>
            <w:tcW w:w="9840" w:type="dxa"/>
            <w:vAlign w:val="bottom"/>
            <w:gridSpan w:val="2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Amended and Restated Five Year Credit Agreement, dated as of November 4, 2022, by and among Colgate-Palmolive Company, as Borrower, Citibank, N.A., as</w:t>
            </w:r>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120" w:type="dxa"/>
            <w:vAlign w:val="bottom"/>
            <w:tcBorders>
              <w:top w:val="single" w:sz="8" w:color="0000FF"/>
            </w:tcBorders>
            <w:gridSpan w:val="16"/>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Administrative Agent and Arranger, and the Lenders party thereto. **</w:t>
            </w:r>
          </w:p>
        </w:tc>
        <w:tc>
          <w:tcPr>
            <w:tcW w:w="5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74"/>
        </w:trPr>
        <w:tc>
          <w:tcPr>
            <w:tcW w:w="540" w:type="dxa"/>
            <w:vAlign w:val="bottom"/>
            <w:tcBorders>
              <w:top w:val="single" w:sz="8" w:color="CCEEFF"/>
            </w:tcBorders>
          </w:tcPr>
          <w:p>
            <w:pPr>
              <w:spacing w:after="0"/>
              <w:rPr>
                <w:sz w:val="6"/>
                <w:szCs w:val="6"/>
                <w:color w:val="auto"/>
              </w:rPr>
            </w:pPr>
          </w:p>
        </w:tc>
        <w:tc>
          <w:tcPr>
            <w:tcW w:w="940" w:type="dxa"/>
            <w:vAlign w:val="bottom"/>
            <w:tcBorders>
              <w:top w:val="single" w:sz="8" w:color="CCEEFF"/>
            </w:tcBorders>
          </w:tcPr>
          <w:p>
            <w:pPr>
              <w:spacing w:after="0"/>
              <w:rPr>
                <w:sz w:val="6"/>
                <w:szCs w:val="6"/>
                <w:color w:val="auto"/>
              </w:rPr>
            </w:pPr>
          </w:p>
        </w:tc>
        <w:tc>
          <w:tcPr>
            <w:tcW w:w="8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7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420" w:type="dxa"/>
            <w:vAlign w:val="bottom"/>
            <w:tcBorders>
              <w:top w:val="single" w:sz="8" w:color="CCEEFF"/>
            </w:tcBorders>
          </w:tcPr>
          <w:p>
            <w:pPr>
              <w:spacing w:after="0"/>
              <w:rPr>
                <w:sz w:val="6"/>
                <w:szCs w:val="6"/>
                <w:color w:val="auto"/>
              </w:rPr>
            </w:pPr>
          </w:p>
        </w:tc>
        <w:tc>
          <w:tcPr>
            <w:tcW w:w="1200" w:type="dxa"/>
            <w:vAlign w:val="bottom"/>
            <w:tcBorders>
              <w:top w:val="single" w:sz="8" w:color="CCEEFF"/>
            </w:tcBorders>
          </w:tcPr>
          <w:p>
            <w:pPr>
              <w:spacing w:after="0"/>
              <w:rPr>
                <w:sz w:val="6"/>
                <w:szCs w:val="6"/>
                <w:color w:val="auto"/>
              </w:rPr>
            </w:pPr>
          </w:p>
        </w:tc>
        <w:tc>
          <w:tcPr>
            <w:tcW w:w="340" w:type="dxa"/>
            <w:vAlign w:val="bottom"/>
            <w:tcBorders>
              <w:top w:val="single" w:sz="8" w:color="CCEEFF"/>
            </w:tcBorders>
          </w:tcPr>
          <w:p>
            <w:pPr>
              <w:spacing w:after="0"/>
              <w:rPr>
                <w:sz w:val="6"/>
                <w:szCs w:val="6"/>
                <w:color w:val="auto"/>
              </w:rPr>
            </w:pPr>
          </w:p>
        </w:tc>
        <w:tc>
          <w:tcPr>
            <w:tcW w:w="56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5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60"/>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10-J</w:t>
            </w:r>
          </w:p>
        </w:tc>
        <w:tc>
          <w:tcPr>
            <w:tcW w:w="940" w:type="dxa"/>
            <w:vAlign w:val="bottom"/>
            <w:shd w:val="clear" w:color="auto" w:fill="CCEEFF"/>
          </w:tcPr>
          <w:p>
            <w:pPr>
              <w:spacing w:after="0"/>
              <w:rPr>
                <w:sz w:val="13"/>
                <w:szCs w:val="13"/>
                <w:color w:val="auto"/>
              </w:rPr>
            </w:pPr>
          </w:p>
        </w:tc>
        <w:tc>
          <w:tcPr>
            <w:tcW w:w="9840" w:type="dxa"/>
            <w:vAlign w:val="bottom"/>
            <w:gridSpan w:val="2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Colgate-Palmolive Company Supplemental Savings and Investment Plan, amended and restated, effective as of January 1, 2022.* **</w:t>
            </w:r>
          </w:p>
        </w:tc>
      </w:tr>
      <w:tr>
        <w:trPr>
          <w:trHeight w:val="74"/>
        </w:trPr>
        <w:tc>
          <w:tcPr>
            <w:tcW w:w="540" w:type="dxa"/>
            <w:vAlign w:val="bottom"/>
            <w:tcBorders>
              <w:top w:val="single" w:sz="8" w:color="CCEEFF"/>
            </w:tcBorders>
          </w:tcPr>
          <w:p>
            <w:pPr>
              <w:spacing w:after="0"/>
              <w:rPr>
                <w:sz w:val="6"/>
                <w:szCs w:val="6"/>
                <w:color w:val="auto"/>
              </w:rPr>
            </w:pPr>
          </w:p>
        </w:tc>
        <w:tc>
          <w:tcPr>
            <w:tcW w:w="940" w:type="dxa"/>
            <w:vAlign w:val="bottom"/>
            <w:tcBorders>
              <w:top w:val="single" w:sz="8" w:color="CCEEFF"/>
            </w:tcBorders>
          </w:tcPr>
          <w:p>
            <w:pPr>
              <w:spacing w:after="0"/>
              <w:rPr>
                <w:sz w:val="6"/>
                <w:szCs w:val="6"/>
                <w:color w:val="auto"/>
              </w:rPr>
            </w:pPr>
          </w:p>
        </w:tc>
        <w:tc>
          <w:tcPr>
            <w:tcW w:w="8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7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20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820" w:type="dxa"/>
            <w:vAlign w:val="bottom"/>
            <w:tcBorders>
              <w:top w:val="single" w:sz="8" w:color="0000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5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940" w:type="dxa"/>
            <w:vAlign w:val="bottom"/>
            <w:shd w:val="clear" w:color="auto" w:fill="CCEEFF"/>
          </w:tcPr>
          <w:p>
            <w:pPr>
              <w:spacing w:after="0"/>
              <w:rPr>
                <w:sz w:val="12"/>
                <w:szCs w:val="12"/>
                <w:color w:val="auto"/>
              </w:rPr>
            </w:pPr>
          </w:p>
        </w:tc>
        <w:tc>
          <w:tcPr>
            <w:tcW w:w="9840" w:type="dxa"/>
            <w:vAlign w:val="bottom"/>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Form of Indemnification Agreement between Colgate-Palmolive Company and its directors, executive officers and certain key employees. (Registrant hereby incorporates</w:t>
              </w:r>
            </w:hyperlink>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20"/>
            <w:shd w:val="clear" w:color="auto" w:fill="CCEEFF"/>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by reference Exhibit 10-K to its Annual Report on Form 10-K for the year ended December 31, 2017, File No. 1-644.)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74"/>
        </w:trPr>
        <w:tc>
          <w:tcPr>
            <w:tcW w:w="540" w:type="dxa"/>
            <w:vAlign w:val="bottom"/>
            <w:tcBorders>
              <w:top w:val="single" w:sz="8" w:color="CCEEFF"/>
            </w:tcBorders>
          </w:tcPr>
          <w:p>
            <w:pPr>
              <w:spacing w:after="0"/>
              <w:rPr>
                <w:sz w:val="6"/>
                <w:szCs w:val="6"/>
                <w:color w:val="auto"/>
              </w:rPr>
            </w:pPr>
          </w:p>
        </w:tc>
        <w:tc>
          <w:tcPr>
            <w:tcW w:w="940" w:type="dxa"/>
            <w:vAlign w:val="bottom"/>
            <w:tcBorders>
              <w:top w:val="single" w:sz="8" w:color="CCEEFF"/>
            </w:tcBorders>
          </w:tcPr>
          <w:p>
            <w:pPr>
              <w:spacing w:after="0"/>
              <w:rPr>
                <w:sz w:val="6"/>
                <w:szCs w:val="6"/>
                <w:color w:val="auto"/>
              </w:rPr>
            </w:pPr>
          </w:p>
        </w:tc>
        <w:tc>
          <w:tcPr>
            <w:tcW w:w="8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7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20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5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60"/>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940" w:type="dxa"/>
            <w:vAlign w:val="bottom"/>
            <w:shd w:val="clear" w:color="auto" w:fill="CCEEFF"/>
          </w:tcPr>
          <w:p>
            <w:pPr>
              <w:spacing w:after="0"/>
              <w:rPr>
                <w:sz w:val="13"/>
                <w:szCs w:val="13"/>
                <w:color w:val="auto"/>
              </w:rPr>
            </w:pPr>
          </w:p>
        </w:tc>
        <w:tc>
          <w:tcPr>
            <w:tcW w:w="9840" w:type="dxa"/>
            <w:vAlign w:val="bottom"/>
            <w:gridSpan w:val="2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Subsidiaries of the Registrant.**</w:t>
            </w:r>
          </w:p>
        </w:tc>
      </w:tr>
      <w:tr>
        <w:trPr>
          <w:trHeight w:val="180"/>
        </w:trPr>
        <w:tc>
          <w:tcPr>
            <w:tcW w:w="5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7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60"/>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940" w:type="dxa"/>
            <w:vAlign w:val="bottom"/>
            <w:shd w:val="clear" w:color="auto" w:fill="CCEEFF"/>
          </w:tcPr>
          <w:p>
            <w:pPr>
              <w:spacing w:after="0"/>
              <w:rPr>
                <w:sz w:val="13"/>
                <w:szCs w:val="13"/>
                <w:color w:val="auto"/>
              </w:rPr>
            </w:pPr>
          </w:p>
        </w:tc>
        <w:tc>
          <w:tcPr>
            <w:tcW w:w="9840" w:type="dxa"/>
            <w:vAlign w:val="bottom"/>
            <w:gridSpan w:val="2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r>
      <w:tr>
        <w:trPr>
          <w:trHeight w:val="180"/>
        </w:trPr>
        <w:tc>
          <w:tcPr>
            <w:tcW w:w="5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740" w:type="dxa"/>
            <w:vAlign w:val="bottom"/>
            <w:tcBorders>
              <w:top w:val="single" w:sz="8" w:color="0000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60"/>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940" w:type="dxa"/>
            <w:vAlign w:val="bottom"/>
            <w:shd w:val="clear" w:color="auto" w:fill="CCEEFF"/>
          </w:tcPr>
          <w:p>
            <w:pPr>
              <w:spacing w:after="0"/>
              <w:rPr>
                <w:sz w:val="13"/>
                <w:szCs w:val="13"/>
                <w:color w:val="auto"/>
              </w:rPr>
            </w:pPr>
          </w:p>
        </w:tc>
        <w:tc>
          <w:tcPr>
            <w:tcW w:w="9840" w:type="dxa"/>
            <w:vAlign w:val="bottom"/>
            <w:gridSpan w:val="2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Powers of Attorney.**</w:t>
            </w:r>
          </w:p>
        </w:tc>
      </w:tr>
      <w:tr>
        <w:trPr>
          <w:trHeight w:val="180"/>
        </w:trPr>
        <w:tc>
          <w:tcPr>
            <w:tcW w:w="5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7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49"/>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31-A</w:t>
            </w:r>
          </w:p>
        </w:tc>
        <w:tc>
          <w:tcPr>
            <w:tcW w:w="940" w:type="dxa"/>
            <w:vAlign w:val="bottom"/>
            <w:shd w:val="clear" w:color="auto" w:fill="CCEEFF"/>
          </w:tcPr>
          <w:p>
            <w:pPr>
              <w:spacing w:after="0"/>
              <w:rPr>
                <w:sz w:val="12"/>
                <w:szCs w:val="12"/>
                <w:color w:val="auto"/>
              </w:rPr>
            </w:pPr>
          </w:p>
        </w:tc>
        <w:tc>
          <w:tcPr>
            <w:tcW w:w="9840" w:type="dxa"/>
            <w:vAlign w:val="bottom"/>
            <w:gridSpan w:val="2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Certificate of the Chairman of the Board, President and Chief Executive Officer of Colgate-Palmolive Company pursuant to Rule 13a-14(a) under the Securities Exchange</w:t>
            </w:r>
          </w:p>
        </w:tc>
      </w:tr>
      <w:tr>
        <w:trPr>
          <w:trHeight w:val="140"/>
        </w:trPr>
        <w:tc>
          <w:tcPr>
            <w:tcW w:w="5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21"/>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Act of 1934.**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74"/>
        </w:trPr>
        <w:tc>
          <w:tcPr>
            <w:tcW w:w="540" w:type="dxa"/>
            <w:vAlign w:val="bottom"/>
            <w:tcBorders>
              <w:top w:val="single" w:sz="8" w:color="CCEEFF"/>
            </w:tcBorders>
          </w:tcPr>
          <w:p>
            <w:pPr>
              <w:spacing w:after="0"/>
              <w:rPr>
                <w:sz w:val="6"/>
                <w:szCs w:val="6"/>
                <w:color w:val="auto"/>
              </w:rPr>
            </w:pPr>
          </w:p>
        </w:tc>
        <w:tc>
          <w:tcPr>
            <w:tcW w:w="940" w:type="dxa"/>
            <w:vAlign w:val="bottom"/>
            <w:tcBorders>
              <w:top w:val="single" w:sz="8" w:color="CCEEFF"/>
            </w:tcBorders>
          </w:tcPr>
          <w:p>
            <w:pPr>
              <w:spacing w:after="0"/>
              <w:rPr>
                <w:sz w:val="6"/>
                <w:szCs w:val="6"/>
                <w:color w:val="auto"/>
              </w:rPr>
            </w:pPr>
          </w:p>
        </w:tc>
        <w:tc>
          <w:tcPr>
            <w:tcW w:w="860" w:type="dxa"/>
            <w:vAlign w:val="bottom"/>
            <w:tcBorders>
              <w:top w:val="single" w:sz="8" w:color="0000FF"/>
            </w:tcBorders>
          </w:tcPr>
          <w:p>
            <w:pPr>
              <w:spacing w:after="0"/>
              <w:rPr>
                <w:sz w:val="6"/>
                <w:szCs w:val="6"/>
                <w:color w:val="auto"/>
              </w:rPr>
            </w:pPr>
          </w:p>
        </w:tc>
        <w:tc>
          <w:tcPr>
            <w:tcW w:w="420" w:type="dxa"/>
            <w:vAlign w:val="bottom"/>
            <w:tcBorders>
              <w:top w:val="single" w:sz="8" w:color="CCEEFF"/>
            </w:tcBorders>
          </w:tcPr>
          <w:p>
            <w:pPr>
              <w:spacing w:after="0"/>
              <w:rPr>
                <w:sz w:val="6"/>
                <w:szCs w:val="6"/>
                <w:color w:val="auto"/>
              </w:rPr>
            </w:pPr>
          </w:p>
        </w:tc>
        <w:tc>
          <w:tcPr>
            <w:tcW w:w="560" w:type="dxa"/>
            <w:vAlign w:val="bottom"/>
            <w:tcBorders>
              <w:top w:val="single" w:sz="8" w:color="CCEEFF"/>
            </w:tcBorders>
          </w:tcPr>
          <w:p>
            <w:pPr>
              <w:spacing w:after="0"/>
              <w:rPr>
                <w:sz w:val="6"/>
                <w:szCs w:val="6"/>
                <w:color w:val="auto"/>
              </w:rPr>
            </w:pPr>
          </w:p>
        </w:tc>
        <w:tc>
          <w:tcPr>
            <w:tcW w:w="174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420" w:type="dxa"/>
            <w:vAlign w:val="bottom"/>
            <w:tcBorders>
              <w:top w:val="single" w:sz="8" w:color="CCEEFF"/>
            </w:tcBorders>
          </w:tcPr>
          <w:p>
            <w:pPr>
              <w:spacing w:after="0"/>
              <w:rPr>
                <w:sz w:val="6"/>
                <w:szCs w:val="6"/>
                <w:color w:val="auto"/>
              </w:rPr>
            </w:pPr>
          </w:p>
        </w:tc>
        <w:tc>
          <w:tcPr>
            <w:tcW w:w="1200" w:type="dxa"/>
            <w:vAlign w:val="bottom"/>
            <w:tcBorders>
              <w:top w:val="single" w:sz="8" w:color="CCEEFF"/>
            </w:tcBorders>
          </w:tcPr>
          <w:p>
            <w:pPr>
              <w:spacing w:after="0"/>
              <w:rPr>
                <w:sz w:val="6"/>
                <w:szCs w:val="6"/>
                <w:color w:val="auto"/>
              </w:rPr>
            </w:pPr>
          </w:p>
        </w:tc>
        <w:tc>
          <w:tcPr>
            <w:tcW w:w="340" w:type="dxa"/>
            <w:vAlign w:val="bottom"/>
            <w:tcBorders>
              <w:top w:val="single" w:sz="8" w:color="CCEEFF"/>
            </w:tcBorders>
          </w:tcPr>
          <w:p>
            <w:pPr>
              <w:spacing w:after="0"/>
              <w:rPr>
                <w:sz w:val="6"/>
                <w:szCs w:val="6"/>
                <w:color w:val="auto"/>
              </w:rPr>
            </w:pPr>
          </w:p>
        </w:tc>
        <w:tc>
          <w:tcPr>
            <w:tcW w:w="56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5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3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60"/>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31-B</w:t>
            </w:r>
          </w:p>
        </w:tc>
        <w:tc>
          <w:tcPr>
            <w:tcW w:w="940" w:type="dxa"/>
            <w:vAlign w:val="bottom"/>
            <w:shd w:val="clear" w:color="auto" w:fill="CCEEFF"/>
          </w:tcPr>
          <w:p>
            <w:pPr>
              <w:spacing w:after="0"/>
              <w:rPr>
                <w:sz w:val="13"/>
                <w:szCs w:val="13"/>
                <w:color w:val="auto"/>
              </w:rPr>
            </w:pPr>
          </w:p>
        </w:tc>
        <w:tc>
          <w:tcPr>
            <w:tcW w:w="9840" w:type="dxa"/>
            <w:vAlign w:val="bottom"/>
            <w:gridSpan w:val="2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Certificate of the Chief Financial Officer of Colgate-Palmolive Company pursuant to Rule 13a-14(a) under the Securities Exchange Act of 1934.**</w:t>
            </w:r>
          </w:p>
        </w:tc>
      </w:tr>
      <w:tr>
        <w:trPr>
          <w:trHeight w:val="180"/>
        </w:trPr>
        <w:tc>
          <w:tcPr>
            <w:tcW w:w="5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7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49"/>
        </w:trPr>
        <w:tc>
          <w:tcPr>
            <w:tcW w:w="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940" w:type="dxa"/>
            <w:vAlign w:val="bottom"/>
            <w:shd w:val="clear" w:color="auto" w:fill="CCEEFF"/>
          </w:tcPr>
          <w:p>
            <w:pPr>
              <w:spacing w:after="0"/>
              <w:rPr>
                <w:sz w:val="12"/>
                <w:szCs w:val="12"/>
                <w:color w:val="auto"/>
              </w:rPr>
            </w:pPr>
          </w:p>
        </w:tc>
        <w:tc>
          <w:tcPr>
            <w:tcW w:w="9840" w:type="dxa"/>
            <w:vAlign w:val="bottom"/>
            <w:gridSpan w:val="2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Certificate of the Chairman of the Board, President and Chief Executive Officer and the Chief Financial Officer of Colgate-Palmolive Company pursuant to Rule 13a-14(b)</w:t>
            </w:r>
          </w:p>
        </w:tc>
      </w:tr>
      <w:tr>
        <w:trPr>
          <w:trHeight w:val="118"/>
        </w:trPr>
        <w:tc>
          <w:tcPr>
            <w:tcW w:w="5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9740" w:type="dxa"/>
            <w:vAlign w:val="bottom"/>
            <w:tcBorders>
              <w:top w:val="single" w:sz="8" w:color="0000FF"/>
            </w:tcBorders>
            <w:gridSpan w:val="2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under the Securities Exchange Act of 1934 and 18 U.S.C. § 1350.***</w:t>
            </w:r>
          </w:p>
        </w:tc>
        <w:tc>
          <w:tcPr>
            <w:tcW w:w="100" w:type="dxa"/>
            <w:vAlign w:val="bottom"/>
            <w:tcBorders>
              <w:top w:val="single" w:sz="8" w:color="CCEEFF"/>
            </w:tcBorders>
            <w:gridSpan w:val="5"/>
            <w:shd w:val="clear" w:color="auto" w:fill="CCEEFF"/>
          </w:tcPr>
          <w:p>
            <w:pPr>
              <w:spacing w:after="0"/>
              <w:rPr>
                <w:sz w:val="10"/>
                <w:szCs w:val="10"/>
                <w:color w:val="auto"/>
              </w:rPr>
            </w:pPr>
          </w:p>
        </w:tc>
      </w:tr>
      <w:tr>
        <w:trPr>
          <w:trHeight w:val="22"/>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left="1480" w:right="120" w:hanging="1461"/>
        <w:spacing w:after="0" w:line="226" w:lineRule="auto"/>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materials from Colgate-Palmolive Company’s Annual Report on Form 10-K for the year ended December 31, 2022, formatted in Inline eXtensible Business Reporting Language (Inline XBRL): (i) the Consolidated Statements of Income, (ii) the Consolidated Balance Sheets, (iii) the Consolidated Statements of Changes in Shareholders’ Equity, (iv) the Consolidated Statements of Comprehensive Income, (v) the Consolidated Statements of Cash Flows, (vi) Notes to Consolidated Financial Statements, and (vii) 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161530" cy="384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61530" cy="38417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5"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0"/>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435"/>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__________</w:t>
            </w:r>
          </w:p>
        </w:tc>
        <w:tc>
          <w:tcPr>
            <w:tcW w:w="10180" w:type="dxa"/>
            <w:vAlign w:val="bottom"/>
          </w:tcPr>
          <w:p>
            <w:pPr>
              <w:spacing w:after="0"/>
              <w:rPr>
                <w:sz w:val="24"/>
                <w:szCs w:val="24"/>
                <w:color w:val="auto"/>
              </w:rPr>
            </w:pPr>
          </w:p>
        </w:tc>
      </w:tr>
    </w:tbl>
    <w:p>
      <w:pPr>
        <w:ind w:right="7020" w:firstLine="5"/>
        <w:spacing w:after="0" w:line="527" w:lineRule="auto"/>
        <w:tabs>
          <w:tab w:leader="none" w:pos="21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or arrangement. ** Filed herewith.</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ind w:left="260" w:right="260" w:hanging="255"/>
        <w:spacing w:after="0" w:line="230" w:lineRule="auto"/>
        <w:tabs>
          <w:tab w:leader="none" w:pos="204"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Registrant hereby undertakes to furnish the Commission, upon request, with a copy of any instrument with respect to long-term debt where the total amount of securities authorized thereunder does not exceed 10% of the total assets of the Registrant and its subsidiaries on a consolidated basis.</w:t>
      </w:r>
    </w:p>
    <w:p>
      <w:pPr>
        <w:spacing w:after="0" w:line="178" w:lineRule="exact"/>
        <w:rPr>
          <w:sz w:val="20"/>
          <w:szCs w:val="20"/>
          <w:color w:val="auto"/>
        </w:rPr>
      </w:pPr>
    </w:p>
    <w:p>
      <w:pPr>
        <w:ind w:firstLine="255"/>
        <w:spacing w:after="0" w:line="276" w:lineRule="auto"/>
        <w:rPr>
          <w:sz w:val="20"/>
          <w:szCs w:val="20"/>
          <w:color w:val="auto"/>
        </w:rPr>
      </w:pPr>
      <w:r>
        <w:rPr>
          <w:rFonts w:ascii="Times New Roman" w:cs="Times New Roman" w:eastAsia="Times New Roman" w:hAnsi="Times New Roman"/>
          <w:sz w:val="14"/>
          <w:szCs w:val="14"/>
          <w:color w:val="auto"/>
        </w:rPr>
        <w:t>The exhibits indicated above that are not included with the Form 10-K are available upon request and payment of a reasonable fee approximating the registrant’s cost of providing and mailing the exhibits. Inquiries should be directed to:</w:t>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Colgate-Palmolive Company</w:t>
      </w:r>
    </w:p>
    <w:p>
      <w:pPr>
        <w:spacing w:after="0" w:line="2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Office of the Secretary (10-K Exhibits)</w:t>
      </w:r>
    </w:p>
    <w:p>
      <w:pPr>
        <w:spacing w:after="0" w:line="1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300 Park Avenue</w:t>
      </w:r>
    </w:p>
    <w:p>
      <w:pPr>
        <w:spacing w:after="0" w:line="1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New York, NY 10022-7499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67" w:name="page68"/>
    <w:bookmarkEnd w:id="67"/>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FORM 10-K SUMMARY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14"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u w:val="single" w:color="auto"/>
          <w:color w:val="auto"/>
        </w:rPr>
        <w:t>Colgate-Palmolive Company</w:t>
      </w:r>
    </w:p>
    <w:p>
      <w:pPr>
        <w:ind w:left="5900"/>
        <w:spacing w:after="0"/>
        <w:rPr>
          <w:sz w:val="20"/>
          <w:szCs w:val="20"/>
          <w:color w:val="auto"/>
        </w:rPr>
      </w:pPr>
      <w:r>
        <w:rPr>
          <w:rFonts w:ascii="Times New Roman" w:cs="Times New Roman" w:eastAsia="Times New Roman" w:hAnsi="Times New Roman"/>
          <w:sz w:val="14"/>
          <w:szCs w:val="14"/>
          <w:color w:val="auto"/>
        </w:rPr>
        <w:t>(Registrant)</w:t>
      </w:r>
    </w:p>
    <w:p>
      <w:pPr>
        <w:spacing w:after="0" w:line="194" w:lineRule="exact"/>
        <w:rPr>
          <w:sz w:val="20"/>
          <w:szCs w:val="20"/>
          <w:color w:val="auto"/>
        </w:rPr>
      </w:pPr>
    </w:p>
    <w:p>
      <w:pPr>
        <w:ind w:left="20"/>
        <w:spacing w:after="0"/>
        <w:tabs>
          <w:tab w:leader="none" w:pos="5460" w:val="left"/>
          <w:tab w:leader="none" w:pos="8060" w:val="left"/>
        </w:tabs>
        <w:rPr>
          <w:sz w:val="20"/>
          <w:szCs w:val="20"/>
          <w:color w:val="auto"/>
        </w:rPr>
      </w:pPr>
      <w:r>
        <w:rPr>
          <w:rFonts w:ascii="Times New Roman" w:cs="Times New Roman" w:eastAsia="Times New Roman" w:hAnsi="Times New Roman"/>
          <w:sz w:val="14"/>
          <w:szCs w:val="14"/>
          <w:color w:val="auto"/>
        </w:rPr>
        <w:t>Date: February 16,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14605</wp:posOffset>
            </wp:positionV>
            <wp:extent cx="338201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color w:val="auto"/>
        </w:rPr>
        <w:t>Noel R. Wallace</w:t>
      </w:r>
    </w:p>
    <w:p>
      <w:pPr>
        <w:jc w:val="center"/>
        <w:ind w:left="5940"/>
        <w:spacing w:after="0" w:line="221" w:lineRule="auto"/>
        <w:rPr>
          <w:sz w:val="20"/>
          <w:szCs w:val="20"/>
          <w:color w:val="auto"/>
        </w:rPr>
      </w:pPr>
      <w:r>
        <w:rPr>
          <w:rFonts w:ascii="Times New Roman" w:cs="Times New Roman" w:eastAsia="Times New Roman" w:hAnsi="Times New Roman"/>
          <w:sz w:val="14"/>
          <w:szCs w:val="14"/>
          <w:color w:val="auto"/>
        </w:rPr>
        <w:t>Chairman of the Board, President and</w:t>
      </w:r>
    </w:p>
    <w:p>
      <w:pPr>
        <w:ind w:left="79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58"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on February 16, 2023, by the following persons on behalf of the registrant and in the capacities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w:t>
            </w:r>
          </w:p>
        </w:tc>
        <w:tc>
          <w:tcPr>
            <w:tcW w:w="5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Directors:</w:t>
            </w:r>
          </w:p>
        </w:tc>
        <w:tc>
          <w:tcPr>
            <w:tcW w:w="0" w:type="dxa"/>
            <w:vAlign w:val="bottom"/>
          </w:tcPr>
          <w:p>
            <w:pPr>
              <w:spacing w:after="0"/>
              <w:rPr>
                <w:sz w:val="1"/>
                <w:szCs w:val="1"/>
                <w:color w:val="auto"/>
              </w:rPr>
            </w:pPr>
          </w:p>
        </w:tc>
      </w:tr>
      <w:tr>
        <w:trPr>
          <w:trHeight w:val="382"/>
        </w:trPr>
        <w:tc>
          <w:tcPr>
            <w:tcW w:w="380" w:type="dxa"/>
            <w:vAlign w:val="bottom"/>
          </w:tcPr>
          <w:p>
            <w:pPr>
              <w:spacing w:after="0"/>
              <w:rPr>
                <w:sz w:val="24"/>
                <w:szCs w:val="24"/>
                <w:color w:val="auto"/>
              </w:rPr>
            </w:pPr>
          </w:p>
        </w:tc>
        <w:tc>
          <w:tcPr>
            <w:tcW w:w="5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8"/>
              </w:rPr>
              <w:t>/s/ Noel R. Wallace</w:t>
            </w:r>
          </w:p>
        </w:tc>
        <w:tc>
          <w:tcPr>
            <w:tcW w:w="380" w:type="dxa"/>
            <w:vAlign w:val="bottom"/>
          </w:tcPr>
          <w:p>
            <w:pPr>
              <w:spacing w:after="0"/>
              <w:rPr>
                <w:sz w:val="24"/>
                <w:szCs w:val="24"/>
                <w:color w:val="auto"/>
              </w:rPr>
            </w:pPr>
          </w:p>
        </w:tc>
        <w:tc>
          <w:tcPr>
            <w:tcW w:w="52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/s/ Noel R. Wallace</w:t>
            </w:r>
          </w:p>
        </w:tc>
        <w:tc>
          <w:tcPr>
            <w:tcW w:w="0" w:type="dxa"/>
            <w:vAlign w:val="bottom"/>
          </w:tcPr>
          <w:p>
            <w:pPr>
              <w:spacing w:after="0"/>
              <w:rPr>
                <w:sz w:val="1"/>
                <w:szCs w:val="1"/>
                <w:color w:val="auto"/>
              </w:rPr>
            </w:pPr>
          </w:p>
        </w:tc>
      </w:tr>
      <w:tr>
        <w:trPr>
          <w:trHeight w:val="129"/>
        </w:trPr>
        <w:tc>
          <w:tcPr>
            <w:tcW w:w="380" w:type="dxa"/>
            <w:vAlign w:val="bottom"/>
            <w:tcBorders>
              <w:top w:val="single" w:sz="8" w:color="auto"/>
            </w:tcBorders>
          </w:tcPr>
          <w:p>
            <w:pPr>
              <w:spacing w:after="0"/>
              <w:rPr>
                <w:sz w:val="11"/>
                <w:szCs w:val="11"/>
                <w:color w:val="auto"/>
              </w:rPr>
            </w:pPr>
          </w:p>
        </w:tc>
        <w:tc>
          <w:tcPr>
            <w:tcW w:w="5180" w:type="dxa"/>
            <w:vAlign w:val="bottom"/>
            <w:tcBorders>
              <w:top w:val="single" w:sz="8" w:color="auto"/>
            </w:tcBorders>
          </w:tcPr>
          <w:p>
            <w:pPr>
              <w:ind w:left="1920"/>
              <w:spacing w:after="0" w:line="129" w:lineRule="exact"/>
              <w:rPr>
                <w:sz w:val="20"/>
                <w:szCs w:val="20"/>
                <w:color w:val="auto"/>
              </w:rPr>
            </w:pPr>
            <w:r>
              <w:rPr>
                <w:rFonts w:ascii="Times New Roman" w:cs="Times New Roman" w:eastAsia="Times New Roman" w:hAnsi="Times New Roman"/>
                <w:sz w:val="14"/>
                <w:szCs w:val="14"/>
                <w:color w:val="auto"/>
              </w:rPr>
              <w:t>Noel R. Wallace</w:t>
            </w: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200" w:type="dxa"/>
            <w:vAlign w:val="bottom"/>
            <w:tcBorders>
              <w:top w:val="single" w:sz="8" w:color="auto"/>
            </w:tcBorders>
          </w:tcPr>
          <w:p>
            <w:pPr>
              <w:jc w:val="center"/>
              <w:ind w:right="309"/>
              <w:spacing w:after="0" w:line="129" w:lineRule="exact"/>
              <w:rPr>
                <w:sz w:val="20"/>
                <w:szCs w:val="20"/>
                <w:color w:val="auto"/>
              </w:rPr>
            </w:pPr>
            <w:r>
              <w:rPr>
                <w:rFonts w:ascii="Times New Roman" w:cs="Times New Roman" w:eastAsia="Times New Roman" w:hAnsi="Times New Roman"/>
                <w:sz w:val="14"/>
                <w:szCs w:val="14"/>
                <w:color w:val="auto"/>
              </w:rPr>
              <w:t>Noel R. Wallace</w:t>
            </w:r>
          </w:p>
        </w:tc>
        <w:tc>
          <w:tcPr>
            <w:tcW w:w="0" w:type="dxa"/>
            <w:vAlign w:val="bottom"/>
          </w:tcPr>
          <w:p>
            <w:pPr>
              <w:spacing w:after="0"/>
              <w:rPr>
                <w:sz w:val="1"/>
                <w:szCs w:val="1"/>
                <w:color w:val="auto"/>
              </w:rPr>
            </w:pPr>
          </w:p>
        </w:tc>
      </w:tr>
      <w:tr>
        <w:trPr>
          <w:trHeight w:val="138"/>
        </w:trPr>
        <w:tc>
          <w:tcPr>
            <w:tcW w:w="380" w:type="dxa"/>
            <w:vAlign w:val="bottom"/>
          </w:tcPr>
          <w:p>
            <w:pPr>
              <w:spacing w:after="0"/>
              <w:rPr>
                <w:sz w:val="11"/>
                <w:szCs w:val="11"/>
                <w:color w:val="auto"/>
              </w:rPr>
            </w:pPr>
          </w:p>
        </w:tc>
        <w:tc>
          <w:tcPr>
            <w:tcW w:w="5320" w:type="dxa"/>
            <w:vAlign w:val="bottom"/>
            <w:gridSpan w:val="2"/>
          </w:tcPr>
          <w:p>
            <w:pPr>
              <w:jc w:val="center"/>
              <w:ind w:right="520"/>
              <w:spacing w:after="0" w:line="138" w:lineRule="exact"/>
              <w:rPr>
                <w:sz w:val="20"/>
                <w:szCs w:val="20"/>
                <w:color w:val="auto"/>
              </w:rPr>
            </w:pPr>
            <w:r>
              <w:rPr>
                <w:rFonts w:ascii="Times New Roman" w:cs="Times New Roman" w:eastAsia="Times New Roman" w:hAnsi="Times New Roman"/>
                <w:sz w:val="14"/>
                <w:szCs w:val="14"/>
                <w:color w:val="auto"/>
              </w:rPr>
              <w:t>Chairman of the Board, President and</w:t>
            </w:r>
          </w:p>
        </w:tc>
        <w:tc>
          <w:tcPr>
            <w:tcW w:w="3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5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Chief Executive Officer</w:t>
            </w:r>
          </w:p>
        </w:tc>
        <w:tc>
          <w:tcPr>
            <w:tcW w:w="3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John P. Bilbrey, John T. Cahill, Steve A. Cahillane,</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Lisa M. Edwards, C. Martin Harris,</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Martina Hund-Mejean, Kimberly A. Nelson,</w:t>
            </w: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Lorrie M. Norrington, Michael B. Polk,</w:t>
            </w:r>
          </w:p>
        </w:tc>
        <w:tc>
          <w:tcPr>
            <w:tcW w:w="0" w:type="dxa"/>
            <w:vAlign w:val="bottom"/>
          </w:tcPr>
          <w:p>
            <w:pPr>
              <w:spacing w:after="0"/>
              <w:rPr>
                <w:sz w:val="1"/>
                <w:szCs w:val="1"/>
                <w:color w:val="auto"/>
              </w:rPr>
            </w:pPr>
          </w:p>
        </w:tc>
      </w:tr>
      <w:tr>
        <w:trPr>
          <w:trHeight w:val="184"/>
        </w:trPr>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5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Stephen I. Sadove*</w:t>
            </w:r>
          </w:p>
        </w:tc>
        <w:tc>
          <w:tcPr>
            <w:tcW w:w="0" w:type="dxa"/>
            <w:vAlign w:val="bottom"/>
          </w:tcPr>
          <w:p>
            <w:pPr>
              <w:spacing w:after="0"/>
              <w:rPr>
                <w:sz w:val="1"/>
                <w:szCs w:val="1"/>
                <w:color w:val="auto"/>
              </w:rPr>
            </w:pPr>
          </w:p>
        </w:tc>
      </w:tr>
      <w:tr>
        <w:trPr>
          <w:trHeight w:val="53"/>
        </w:trPr>
        <w:tc>
          <w:tcPr>
            <w:tcW w:w="380" w:type="dxa"/>
            <w:vAlign w:val="bottom"/>
            <w:vMerge w:val="continue"/>
          </w:tcPr>
          <w:p>
            <w:pPr>
              <w:spacing w:after="0"/>
              <w:rPr>
                <w:sz w:val="4"/>
                <w:szCs w:val="4"/>
                <w:color w:val="auto"/>
              </w:rPr>
            </w:pPr>
          </w:p>
        </w:tc>
        <w:tc>
          <w:tcPr>
            <w:tcW w:w="532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5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380" w:type="dxa"/>
            <w:vAlign w:val="bottom"/>
          </w:tcPr>
          <w:p>
            <w:pPr>
              <w:spacing w:after="0"/>
              <w:rPr>
                <w:sz w:val="24"/>
                <w:szCs w:val="24"/>
                <w:color w:val="auto"/>
              </w:rPr>
            </w:pPr>
          </w:p>
        </w:tc>
        <w:tc>
          <w:tcPr>
            <w:tcW w:w="5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/s/ Stanley J. Sutula III</w:t>
            </w:r>
          </w:p>
        </w:tc>
        <w:tc>
          <w:tcPr>
            <w:tcW w:w="380" w:type="dxa"/>
            <w:vAlign w:val="bottom"/>
          </w:tcPr>
          <w:p>
            <w:pPr>
              <w:spacing w:after="0"/>
              <w:rPr>
                <w:sz w:val="24"/>
                <w:szCs w:val="24"/>
                <w:color w:val="auto"/>
              </w:rPr>
            </w:pPr>
          </w:p>
        </w:tc>
        <w:tc>
          <w:tcPr>
            <w:tcW w:w="520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*By: /s/ Jennifer M. Daniels</w:t>
            </w:r>
          </w:p>
        </w:tc>
        <w:tc>
          <w:tcPr>
            <w:tcW w:w="0" w:type="dxa"/>
            <w:vAlign w:val="bottom"/>
          </w:tcPr>
          <w:p>
            <w:pPr>
              <w:spacing w:after="0"/>
              <w:rPr>
                <w:sz w:val="1"/>
                <w:szCs w:val="1"/>
                <w:color w:val="auto"/>
              </w:rPr>
            </w:pPr>
          </w:p>
        </w:tc>
      </w:tr>
      <w:tr>
        <w:trPr>
          <w:trHeight w:val="129"/>
        </w:trPr>
        <w:tc>
          <w:tcPr>
            <w:tcW w:w="380" w:type="dxa"/>
            <w:vAlign w:val="bottom"/>
            <w:tcBorders>
              <w:top w:val="single" w:sz="8" w:color="auto"/>
            </w:tcBorders>
          </w:tcPr>
          <w:p>
            <w:pPr>
              <w:spacing w:after="0"/>
              <w:rPr>
                <w:sz w:val="11"/>
                <w:szCs w:val="11"/>
                <w:color w:val="auto"/>
              </w:rPr>
            </w:pPr>
          </w:p>
        </w:tc>
        <w:tc>
          <w:tcPr>
            <w:tcW w:w="5180" w:type="dxa"/>
            <w:vAlign w:val="bottom"/>
            <w:tcBorders>
              <w:top w:val="single" w:sz="8" w:color="auto"/>
            </w:tcBorders>
          </w:tcPr>
          <w:p>
            <w:pPr>
              <w:ind w:left="1960"/>
              <w:spacing w:after="0" w:line="129" w:lineRule="exact"/>
              <w:rPr>
                <w:sz w:val="20"/>
                <w:szCs w:val="20"/>
                <w:color w:val="auto"/>
              </w:rPr>
            </w:pPr>
            <w:r>
              <w:rPr>
                <w:rFonts w:ascii="Times New Roman" w:cs="Times New Roman" w:eastAsia="Times New Roman" w:hAnsi="Times New Roman"/>
                <w:sz w:val="14"/>
                <w:szCs w:val="14"/>
                <w:color w:val="auto"/>
              </w:rPr>
              <w:t>Stanley J. Sutula III</w:t>
            </w: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200" w:type="dxa"/>
            <w:vAlign w:val="bottom"/>
            <w:tcBorders>
              <w:top w:val="single" w:sz="8" w:color="auto"/>
            </w:tcBorders>
          </w:tcPr>
          <w:p>
            <w:pPr>
              <w:ind w:left="1980"/>
              <w:spacing w:after="0" w:line="129" w:lineRule="exact"/>
              <w:rPr>
                <w:sz w:val="20"/>
                <w:szCs w:val="20"/>
                <w:color w:val="auto"/>
              </w:rPr>
            </w:pPr>
            <w:r>
              <w:rPr>
                <w:rFonts w:ascii="Times New Roman" w:cs="Times New Roman" w:eastAsia="Times New Roman" w:hAnsi="Times New Roman"/>
                <w:sz w:val="14"/>
                <w:szCs w:val="14"/>
                <w:color w:val="auto"/>
              </w:rPr>
              <w:t>Jennifer M. Daniels</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5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Chief Financial Officer</w:t>
            </w:r>
          </w:p>
        </w:tc>
        <w:tc>
          <w:tcPr>
            <w:tcW w:w="380" w:type="dxa"/>
            <w:vAlign w:val="bottom"/>
          </w:tcPr>
          <w:p>
            <w:pPr>
              <w:spacing w:after="0"/>
              <w:rPr>
                <w:sz w:val="16"/>
                <w:szCs w:val="16"/>
                <w:color w:val="auto"/>
              </w:rPr>
            </w:pPr>
          </w:p>
        </w:tc>
        <w:tc>
          <w:tcPr>
            <w:tcW w:w="520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As Attorney-in-Fact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60" w:hanging="541"/>
        <w:spacing w:after="0"/>
        <w:tabs>
          <w:tab w:leader="none" w:pos="5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Accounting Officer</w:t>
      </w:r>
    </w:p>
    <w:p>
      <w:pPr>
        <w:spacing w:after="0" w:line="20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/s/ Gregory O. Malcolm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2361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3523615" cy="6985"/>
                    </a:xfrm>
                    <a:prstGeom prst="rect">
                      <a:avLst/>
                    </a:prstGeom>
                    <a:noFill/>
                  </pic:spPr>
                </pic:pic>
              </a:graphicData>
            </a:graphic>
          </wp:anchor>
        </w:drawing>
      </w:r>
    </w:p>
    <w:p>
      <w:pPr>
        <w:spacing w:after="0" w:line="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Gregory O. Malcolm</w:t>
      </w:r>
    </w:p>
    <w:p>
      <w:pPr>
        <w:ind w:left="1940"/>
        <w:spacing w:after="0"/>
        <w:rPr>
          <w:sz w:val="20"/>
          <w:szCs w:val="20"/>
          <w:color w:val="auto"/>
        </w:rPr>
      </w:pPr>
      <w:r>
        <w:rPr>
          <w:rFonts w:ascii="Times New Roman" w:cs="Times New Roman" w:eastAsia="Times New Roman" w:hAnsi="Times New Roman"/>
          <w:sz w:val="14"/>
          <w:szCs w:val="14"/>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7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105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0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238)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0"/>
        </w:trPr>
        <w:tc>
          <w:tcPr>
            <w:tcW w:w="10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Income for the years ended December 31, 2022, 2021 and 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2"/>
        </w:trPr>
        <w:tc>
          <w:tcPr>
            <w:tcW w:w="10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Comprehensive Income for the years ended December 31, 2022, 2021 and 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0"/>
        </w:trPr>
        <w:tc>
          <w:tcPr>
            <w:tcW w:w="10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Balance Sheets as of December 31, 2022 and 2021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0"/>
        </w:trPr>
        <w:tc>
          <w:tcPr>
            <w:tcW w:w="10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Changes in Shareholders’ Equity for the years ended December 31, 2022, 2021 and 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10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Cash Flows for the years ended December 31, 2022, 2021 and 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0"/>
        </w:trPr>
        <w:tc>
          <w:tcPr>
            <w:tcW w:w="10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360"/>
        </w:trPr>
        <w:tc>
          <w:tcPr>
            <w:tcW w:w="10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Schedule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0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Schedule II - Valuation and Qualifying Accounts for the years ended December 31, 2022, 2021 and 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360"/>
        </w:trPr>
        <w:tc>
          <w:tcPr>
            <w:tcW w:w="10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Financial Data</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0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Information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other financial statements and schedules not listed have been omitted since the required information is included in the financial statements or the notes thereto or is not applicable or required.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70" w:name="page71"/>
    <w:bookmarkEnd w:id="70"/>
    <w:p>
      <w:pPr>
        <w:ind w:left="3520"/>
        <w:spacing w:after="0"/>
        <w:rPr>
          <w:sz w:val="20"/>
          <w:szCs w:val="20"/>
          <w:color w:val="auto"/>
        </w:rPr>
      </w:pPr>
      <w:r>
        <w:rPr>
          <w:rFonts w:ascii="Georgia" w:cs="Georgia" w:eastAsia="Georgia" w:hAnsi="Georgia"/>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color w:val="auto"/>
        </w:rPr>
        <w:t>To the Board of Directors and Shareholders of Colgate-Palmolive Company</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b w:val="1"/>
          <w:bCs w:val="1"/>
          <w:i w:val="1"/>
          <w:iCs w:val="1"/>
          <w:color w:val="auto"/>
        </w:rPr>
        <w:t>Opinions on the Financial Statements and Internal Control over Financial Reporting</w:t>
      </w:r>
    </w:p>
    <w:p>
      <w:pPr>
        <w:spacing w:after="0" w:line="191" w:lineRule="exact"/>
        <w:rPr>
          <w:sz w:val="20"/>
          <w:szCs w:val="20"/>
          <w:color w:val="auto"/>
        </w:rPr>
      </w:pPr>
    </w:p>
    <w:p>
      <w:pPr>
        <w:ind w:right="40"/>
        <w:spacing w:after="0"/>
        <w:rPr>
          <w:sz w:val="20"/>
          <w:szCs w:val="20"/>
          <w:color w:val="auto"/>
        </w:rPr>
      </w:pPr>
      <w:r>
        <w:rPr>
          <w:rFonts w:ascii="Georgia" w:cs="Georgia" w:eastAsia="Georgia" w:hAnsi="Georgia"/>
          <w:sz w:val="14"/>
          <w:szCs w:val="14"/>
          <w:color w:val="auto"/>
        </w:rPr>
        <w:t xml:space="preserve">We have audited the consolidated financial statements, including the related notes and financial statement schedule, of Colgate-Palmolive Company and its subsidiaries (the “Company”) as listed in the accompanying index (collectively referred to as the “consolidated financial statements”). We also have audited the Company's internal control over financial reporting as of December 31, 2022, based on criteria established in </w:t>
      </w:r>
      <w:r>
        <w:rPr>
          <w:rFonts w:ascii="Georgia" w:cs="Georgia" w:eastAsia="Georgia" w:hAnsi="Georgia"/>
          <w:sz w:val="14"/>
          <w:szCs w:val="14"/>
          <w:i w:val="1"/>
          <w:iCs w:val="1"/>
          <w:color w:val="auto"/>
        </w:rPr>
        <w:t>Internal Control - Integrated Framework</w:t>
      </w:r>
      <w:r>
        <w:rPr>
          <w:rFonts w:ascii="Georgia" w:cs="Georgia" w:eastAsia="Georgia" w:hAnsi="Georgia"/>
          <w:sz w:val="14"/>
          <w:szCs w:val="14"/>
          <w:color w:val="auto"/>
        </w:rPr>
        <w:t xml:space="preserve"> (2013) issued by the Committee of Sponsoring Organizations of the Treadway Commission (COSO).</w:t>
      </w:r>
    </w:p>
    <w:p>
      <w:pPr>
        <w:spacing w:after="0" w:line="181" w:lineRule="exact"/>
        <w:rPr>
          <w:sz w:val="20"/>
          <w:szCs w:val="20"/>
          <w:color w:val="auto"/>
        </w:rPr>
      </w:pPr>
    </w:p>
    <w:p>
      <w:pPr>
        <w:ind w:right="20"/>
        <w:spacing w:after="0"/>
        <w:rPr>
          <w:sz w:val="20"/>
          <w:szCs w:val="20"/>
          <w:color w:val="auto"/>
        </w:rPr>
      </w:pPr>
      <w:r>
        <w:rPr>
          <w:rFonts w:ascii="Georgia" w:cs="Georgia" w:eastAsia="Georgia" w:hAnsi="Georgia"/>
          <w:sz w:val="14"/>
          <w:szCs w:val="14"/>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Georgia" w:cs="Georgia" w:eastAsia="Georgia" w:hAnsi="Georgia"/>
          <w:sz w:val="14"/>
          <w:szCs w:val="14"/>
          <w:i w:val="1"/>
          <w:iCs w:val="1"/>
          <w:color w:val="auto"/>
        </w:rPr>
        <w:t>Internal Control - Integrated Framework</w:t>
      </w:r>
      <w:r>
        <w:rPr>
          <w:rFonts w:ascii="Georgia" w:cs="Georgia" w:eastAsia="Georgia" w:hAnsi="Georgia"/>
          <w:sz w:val="14"/>
          <w:szCs w:val="14"/>
          <w:color w:val="auto"/>
        </w:rPr>
        <w:t xml:space="preserve"> (2013) issued by the COSO.</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b w:val="1"/>
          <w:bCs w:val="1"/>
          <w:i w:val="1"/>
          <w:iCs w:val="1"/>
          <w:color w:val="auto"/>
        </w:rPr>
        <w:t>Basis for Opinions</w:t>
      </w:r>
    </w:p>
    <w:p>
      <w:pPr>
        <w:spacing w:after="0" w:line="191" w:lineRule="exact"/>
        <w:rPr>
          <w:sz w:val="20"/>
          <w:szCs w:val="20"/>
          <w:color w:val="auto"/>
        </w:rPr>
      </w:pPr>
    </w:p>
    <w:p>
      <w:pPr>
        <w:jc w:val="both"/>
        <w:ind w:right="60"/>
        <w:spacing w:after="0"/>
        <w:rPr>
          <w:sz w:val="20"/>
          <w:szCs w:val="20"/>
          <w:color w:val="auto"/>
        </w:rPr>
      </w:pPr>
      <w:r>
        <w:rPr>
          <w:rFonts w:ascii="Georgia" w:cs="Georgia" w:eastAsia="Georgia" w:hAnsi="Georgia"/>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200"/>
        <w:spacing w:after="0"/>
        <w:rPr>
          <w:sz w:val="20"/>
          <w:szCs w:val="20"/>
          <w:color w:val="auto"/>
        </w:rPr>
      </w:pPr>
      <w:r>
        <w:rPr>
          <w:rFonts w:ascii="Georgia" w:cs="Georgia" w:eastAsia="Georgia" w:hAnsi="Georgia"/>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spacing w:after="0"/>
        <w:rPr>
          <w:sz w:val="20"/>
          <w:szCs w:val="20"/>
          <w:color w:val="auto"/>
        </w:rPr>
      </w:pPr>
      <w:r>
        <w:rPr>
          <w:rFonts w:ascii="Georgia" w:cs="Georgia" w:eastAsia="Georgia" w:hAnsi="Georgia"/>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51" w:lineRule="exact"/>
        <w:rPr>
          <w:sz w:val="20"/>
          <w:szCs w:val="20"/>
          <w:color w:val="auto"/>
        </w:rPr>
      </w:pPr>
    </w:p>
    <w:p>
      <w:pPr>
        <w:spacing w:after="0"/>
        <w:rPr>
          <w:sz w:val="20"/>
          <w:szCs w:val="20"/>
          <w:color w:val="auto"/>
        </w:rPr>
      </w:pPr>
      <w:r>
        <w:rPr>
          <w:rFonts w:ascii="Georgia" w:cs="Georgia" w:eastAsia="Georgia" w:hAnsi="Georgia"/>
          <w:sz w:val="14"/>
          <w:szCs w:val="14"/>
          <w:b w:val="1"/>
          <w:bCs w:val="1"/>
          <w:i w:val="1"/>
          <w:iCs w:val="1"/>
          <w:color w:val="auto"/>
        </w:rPr>
        <w:t>Definition and Limitations of Internal Control over Financial Reporting</w:t>
      </w:r>
    </w:p>
    <w:p>
      <w:pPr>
        <w:spacing w:after="0" w:line="191" w:lineRule="exact"/>
        <w:rPr>
          <w:sz w:val="20"/>
          <w:szCs w:val="20"/>
          <w:color w:val="auto"/>
        </w:rPr>
      </w:pPr>
    </w:p>
    <w:p>
      <w:pPr>
        <w:ind w:right="60"/>
        <w:spacing w:after="0"/>
        <w:rPr>
          <w:sz w:val="20"/>
          <w:szCs w:val="20"/>
          <w:color w:val="auto"/>
        </w:rPr>
      </w:pPr>
      <w:r>
        <w:rPr>
          <w:rFonts w:ascii="Georgia" w:cs="Georgia" w:eastAsia="Georgia" w:hAnsi="Georgia"/>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w:t>
      </w:r>
    </w:p>
    <w:p>
      <w:pPr>
        <w:ind w:right="40" w:firstLine="5"/>
        <w:spacing w:after="0" w:line="236" w:lineRule="auto"/>
        <w:tabs>
          <w:tab w:leader="none" w:pos="223" w:val="left"/>
        </w:tabs>
        <w:numPr>
          <w:ilvl w:val="0"/>
          <w:numId w:val="23"/>
        </w:numPr>
        <w:rPr>
          <w:rFonts w:ascii="Georgia" w:cs="Georgia" w:eastAsia="Georgia" w:hAnsi="Georgia"/>
          <w:sz w:val="14"/>
          <w:szCs w:val="14"/>
          <w:color w:val="auto"/>
        </w:rPr>
      </w:pPr>
      <w:r>
        <w:rPr>
          <w:rFonts w:ascii="Georgia" w:cs="Georgia" w:eastAsia="Georgia" w:hAnsi="Georgia"/>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6" w:right="319" w:bottom="1440" w:gutter="0" w:footer="0" w:header="0"/>
        </w:sectPr>
      </w:pPr>
    </w:p>
    <w:bookmarkStart w:id="71" w:name="page72"/>
    <w:bookmarkEnd w:id="71"/>
    <w:p>
      <w:pPr>
        <w:ind w:right="220"/>
        <w:spacing w:after="0"/>
        <w:rPr>
          <w:sz w:val="20"/>
          <w:szCs w:val="20"/>
          <w:color w:val="auto"/>
        </w:rPr>
      </w:pPr>
      <w:r>
        <w:rPr>
          <w:rFonts w:ascii="Georgia" w:cs="Georgia" w:eastAsia="Georgia" w:hAnsi="Georgia"/>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b w:val="1"/>
          <w:bCs w:val="1"/>
          <w:i w:val="1"/>
          <w:iCs w:val="1"/>
          <w:color w:val="auto"/>
        </w:rPr>
        <w:t>Critical Audit Matters</w:t>
      </w:r>
    </w:p>
    <w:p>
      <w:pPr>
        <w:spacing w:after="0" w:line="191" w:lineRule="exact"/>
        <w:rPr>
          <w:sz w:val="20"/>
          <w:szCs w:val="20"/>
          <w:color w:val="auto"/>
        </w:rPr>
      </w:pPr>
    </w:p>
    <w:p>
      <w:pPr>
        <w:ind w:right="260"/>
        <w:spacing w:after="0"/>
        <w:rPr>
          <w:sz w:val="20"/>
          <w:szCs w:val="20"/>
          <w:color w:val="auto"/>
        </w:rPr>
      </w:pPr>
      <w:r>
        <w:rPr>
          <w:rFonts w:ascii="Georgia" w:cs="Georgia" w:eastAsia="Georgia" w:hAnsi="Georgia"/>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w:t>
      </w:r>
    </w:p>
    <w:p>
      <w:pPr>
        <w:ind w:right="100"/>
        <w:spacing w:after="0" w:line="232" w:lineRule="auto"/>
        <w:rPr>
          <w:sz w:val="20"/>
          <w:szCs w:val="20"/>
          <w:color w:val="auto"/>
        </w:rPr>
      </w:pPr>
      <w:r>
        <w:rPr>
          <w:rFonts w:ascii="Georgia" w:cs="Georgia" w:eastAsia="Georgia" w:hAnsi="Georgia"/>
          <w:sz w:val="14"/>
          <w:szCs w:val="14"/>
          <w:color w:val="auto"/>
        </w:rPr>
        <w:t>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w:t>
      </w:r>
    </w:p>
    <w:p>
      <w:pPr>
        <w:spacing w:after="0"/>
        <w:rPr>
          <w:sz w:val="20"/>
          <w:szCs w:val="20"/>
          <w:color w:val="auto"/>
        </w:rPr>
      </w:pPr>
      <w:r>
        <w:rPr>
          <w:rFonts w:ascii="Georgia" w:cs="Georgia" w:eastAsia="Georgia" w:hAnsi="Georgia"/>
          <w:sz w:val="14"/>
          <w:szCs w:val="14"/>
          <w:color w:val="auto"/>
        </w:rPr>
        <w:t>relates.</w:t>
      </w:r>
    </w:p>
    <w:p>
      <w:pPr>
        <w:spacing w:after="0" w:line="202" w:lineRule="exact"/>
        <w:rPr>
          <w:sz w:val="20"/>
          <w:szCs w:val="20"/>
          <w:color w:val="auto"/>
        </w:rPr>
      </w:pPr>
    </w:p>
    <w:p>
      <w:pPr>
        <w:spacing w:after="0"/>
        <w:rPr>
          <w:sz w:val="20"/>
          <w:szCs w:val="20"/>
          <w:color w:val="auto"/>
        </w:rPr>
      </w:pPr>
      <w:r>
        <w:rPr>
          <w:rFonts w:ascii="Georgia" w:cs="Georgia" w:eastAsia="Georgia" w:hAnsi="Georgia"/>
          <w:sz w:val="14"/>
          <w:szCs w:val="14"/>
          <w:i w:val="1"/>
          <w:iCs w:val="1"/>
          <w:color w:val="auto"/>
        </w:rPr>
        <w:t>Goodwill and Indefinite-Lived Intangible Asset Impairment Assessments - Filorga</w:t>
      </w:r>
    </w:p>
    <w:p>
      <w:pPr>
        <w:spacing w:after="0" w:line="202" w:lineRule="exact"/>
        <w:rPr>
          <w:sz w:val="20"/>
          <w:szCs w:val="20"/>
          <w:color w:val="auto"/>
        </w:rPr>
      </w:pPr>
    </w:p>
    <w:p>
      <w:pPr>
        <w:spacing w:after="0" w:line="250" w:lineRule="auto"/>
        <w:rPr>
          <w:sz w:val="20"/>
          <w:szCs w:val="20"/>
          <w:color w:val="auto"/>
        </w:rPr>
      </w:pPr>
      <w:r>
        <w:rPr>
          <w:rFonts w:ascii="Georgia" w:cs="Georgia" w:eastAsia="Georgia" w:hAnsi="Georgia"/>
          <w:sz w:val="14"/>
          <w:szCs w:val="14"/>
          <w:color w:val="auto"/>
        </w:rPr>
        <w:t>As described in Notes 2 and 5 to the consolidated financial statements, the Company’s balance of goodwill related to the Filorga reporting unit and the associated indefinite-lived intangible asset was $214 million and $257 million, respectively, as of December 31, 2022. Goodwill and indefinite-lived intangible assets are subject to impairment tests at least annually or when events or changes in circumstances indicate that an asset may be impaired. During the fourth quarter of 2022, management concluded that the changes in circumstances in the Filorga reporting unit triggered the need for an interim impairment review of its indefinite-lived trademark and goodwill. As a result of the impairment test, management concluded that the carrying value of the trademark exceeded its estimated fair value, and recorded an impairment charge of $300 million, reducing its carrying value to $257 million as of December 31, 2022. After adjusting the carrying value of the trademark, management completed a quantitative impairment test for goodwill and recorded a goodwill impairment charge of $332 million, reducing the carrying value of goodwill to $214 million as of December 31, 2022. The fair value of the Filorga reporting unit and indefinite-lived trademark were determined by management using an income approach. This method incorporates significant judgments and estimates by management regarding several key inputs, including future cash flows, sales growth rates, discount rate, and the selection of royalty rates, among others.</w:t>
      </w:r>
    </w:p>
    <w:p>
      <w:pPr>
        <w:spacing w:after="0" w:line="5" w:lineRule="exact"/>
        <w:rPr>
          <w:sz w:val="20"/>
          <w:szCs w:val="20"/>
          <w:color w:val="auto"/>
        </w:rPr>
      </w:pPr>
    </w:p>
    <w:p>
      <w:pPr>
        <w:ind w:right="80"/>
        <w:spacing w:after="0" w:line="244" w:lineRule="auto"/>
        <w:rPr>
          <w:sz w:val="20"/>
          <w:szCs w:val="20"/>
          <w:color w:val="auto"/>
        </w:rPr>
      </w:pPr>
      <w:r>
        <w:rPr>
          <w:rFonts w:ascii="Georgia" w:cs="Georgia" w:eastAsia="Georgia" w:hAnsi="Georgia"/>
          <w:sz w:val="14"/>
          <w:szCs w:val="14"/>
          <w:color w:val="auto"/>
        </w:rPr>
        <w:t>The principal considerations for our determination that performing procedures relating to the goodwill and indefinite-lived intangible asset impairment assessments of Filorga is a critical audit matter are (i) the significant judgment by management when developing the fair value estimate of the reporting unit and indefinite-lived intangible asset; (ii) a high degree of auditor judgment, subjectivity, and effort in performing procedures and evaluating management’s significant assumptions related to the sales growth rates and discount rate for the goodwill and indefinite-lived intangible asset, and the royalty rate for the indefinite-lived intangible asset; and (iii) the audit effort involved the use of professionals with specialized skill and knowledge.</w:t>
      </w:r>
    </w:p>
    <w:p>
      <w:pPr>
        <w:spacing w:after="0" w:line="189" w:lineRule="exact"/>
        <w:rPr>
          <w:sz w:val="20"/>
          <w:szCs w:val="20"/>
          <w:color w:val="auto"/>
        </w:rPr>
      </w:pPr>
    </w:p>
    <w:p>
      <w:pPr>
        <w:spacing w:after="0" w:line="246" w:lineRule="auto"/>
        <w:rPr>
          <w:sz w:val="20"/>
          <w:szCs w:val="20"/>
          <w:color w:val="auto"/>
        </w:rPr>
      </w:pPr>
      <w:r>
        <w:rPr>
          <w:rFonts w:ascii="Georgia" w:cs="Georgia" w:eastAsia="Georgia" w:hAnsi="Georgia"/>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and indefinite-lived intangible asset impairment assessments, including controls over the valuation estimate of the Filorga reporting unit and indefinite-lived intangible asset. These procedures also included, among others (i) testing management’s process for developing the fair value of the reporting unit and indefinite-lived intangible asset; (ii) evaluating the appropriateness of the income approach; (iii) testing the completeness and accuracy of underlying data used in the income approach; and (iv) evaluating the reasonableness of significant assumptions used by management related to the sales growth rates and discount rate for the goodwill and indefinite-lived intangible asset, and the royalty rate for the indefinite-lived intangible asset. Evaluating management’s significant assumptions related to the sales growth rates and discount rate for the goodwill and indefinite-lived intangible asset, and the royalty rate for the indefinite-lived intangible asset involved evaluating whether the significant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evaluating the appropriateness of the income approach and the reasonableness of the discount rate and royalty rate significant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6"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rPr>
          <w:sz w:val="20"/>
          <w:szCs w:val="20"/>
          <w:color w:val="auto"/>
        </w:rPr>
      </w:pPr>
      <w:r>
        <w:rPr>
          <w:rFonts w:ascii="Times New Roman" w:cs="Times New Roman" w:eastAsia="Times New Roman" w:hAnsi="Times New Roman"/>
          <w:sz w:val="16"/>
          <w:szCs w:val="16"/>
          <w:color w:val="auto"/>
        </w:rPr>
        <w:t>February 16,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s auditor since 2002.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39"/>
          </w:cols>
          <w:pgMar w:left="320" w:top="662"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920" w:type="dxa"/>
            <w:vAlign w:val="bottom"/>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COLGATE-PALMOLIVE COMPANY</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5"/>
        </w:trPr>
        <w:tc>
          <w:tcPr>
            <w:tcW w:w="3760" w:type="dxa"/>
            <w:vAlign w:val="bottom"/>
          </w:tcPr>
          <w:p>
            <w:pPr>
              <w:spacing w:after="0"/>
              <w:rPr>
                <w:sz w:val="22"/>
                <w:szCs w:val="22"/>
                <w:color w:val="auto"/>
              </w:rPr>
            </w:pPr>
          </w:p>
        </w:tc>
        <w:tc>
          <w:tcPr>
            <w:tcW w:w="3920" w:type="dxa"/>
            <w:vAlign w:val="bottom"/>
            <w:gridSpan w:val="2"/>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3760" w:type="dxa"/>
            <w:vAlign w:val="bottom"/>
          </w:tcPr>
          <w:p>
            <w:pPr>
              <w:spacing w:after="0"/>
              <w:rPr>
                <w:sz w:val="22"/>
                <w:szCs w:val="22"/>
                <w:color w:val="auto"/>
              </w:rPr>
            </w:pPr>
          </w:p>
        </w:tc>
        <w:tc>
          <w:tcPr>
            <w:tcW w:w="3920" w:type="dxa"/>
            <w:vAlign w:val="bottom"/>
            <w:gridSpan w:val="2"/>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3760" w:type="dxa"/>
            <w:vAlign w:val="bottom"/>
          </w:tcPr>
          <w:p>
            <w:pPr>
              <w:spacing w:after="0"/>
              <w:rPr>
                <w:sz w:val="22"/>
                <w:szCs w:val="22"/>
                <w:color w:val="auto"/>
              </w:rPr>
            </w:pPr>
          </w:p>
        </w:tc>
        <w:tc>
          <w:tcPr>
            <w:tcW w:w="3920" w:type="dxa"/>
            <w:vAlign w:val="bottom"/>
            <w:gridSpan w:val="2"/>
          </w:tcPr>
          <w:p>
            <w:pPr>
              <w:jc w:val="center"/>
              <w:ind w:right="109"/>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2"/>
        </w:trPr>
        <w:tc>
          <w:tcPr>
            <w:tcW w:w="3760" w:type="dxa"/>
            <w:vAlign w:val="bottom"/>
          </w:tcPr>
          <w:p>
            <w:pPr>
              <w:spacing w:after="0"/>
              <w:rPr>
                <w:sz w:val="17"/>
                <w:szCs w:val="17"/>
                <w:color w:val="auto"/>
              </w:rPr>
            </w:pP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2020</w:t>
            </w:r>
          </w:p>
        </w:tc>
      </w:tr>
      <w:tr>
        <w:trPr>
          <w:trHeight w:val="171"/>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0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17,967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17,421</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16,471</w:t>
            </w:r>
          </w:p>
        </w:tc>
      </w:tr>
      <w:tr>
        <w:trPr>
          <w:trHeight w:val="18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30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6,454</w:t>
            </w:r>
          </w:p>
        </w:tc>
      </w:tr>
      <w:tr>
        <w:trPr>
          <w:trHeight w:val="171"/>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profit</w:t>
            </w:r>
          </w:p>
        </w:tc>
        <w:tc>
          <w:tcPr>
            <w:tcW w:w="3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10,017</w:t>
            </w: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6,019</w:t>
            </w: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0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impairment charges</w:t>
            </w:r>
          </w:p>
        </w:tc>
        <w:tc>
          <w:tcPr>
            <w:tcW w:w="30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profit</w:t>
            </w:r>
          </w:p>
        </w:tc>
        <w:tc>
          <w:tcPr>
            <w:tcW w:w="3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w:t>
            </w: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Non-service related postretirement costs</w:t>
            </w:r>
          </w:p>
        </w:tc>
        <w:tc>
          <w:tcPr>
            <w:tcW w:w="3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30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71"/>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w:t>
            </w: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r>
      <w:tr>
        <w:trPr>
          <w:trHeight w:val="171"/>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w:t>
            </w: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71"/>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Colgate-Palmolive Company</w:t>
            </w:r>
          </w:p>
        </w:tc>
        <w:tc>
          <w:tcPr>
            <w:tcW w:w="30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2,695</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common share, basic</w:t>
            </w:r>
          </w:p>
        </w:tc>
        <w:tc>
          <w:tcPr>
            <w:tcW w:w="30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43"/>
        </w:trPr>
        <w:tc>
          <w:tcPr>
            <w:tcW w:w="37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Earnings per common share, diluted</w:t>
            </w:r>
          </w:p>
        </w:tc>
        <w:tc>
          <w:tcPr>
            <w:tcW w:w="30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769"/>
              <w:spacing w:after="0" w:line="14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3.14</w:t>
            </w:r>
          </w:p>
        </w:tc>
      </w:tr>
      <w:tr>
        <w:trPr>
          <w:trHeight w:val="20"/>
        </w:trPr>
        <w:tc>
          <w:tcPr>
            <w:tcW w:w="3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400" w:type="dxa"/>
            <w:vAlign w:val="bottom"/>
            <w:gridSpan w:val="2"/>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w w:val="99"/>
              </w:rPr>
              <w:t>COLGATE-PALMOLIVE COMPANY</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5"/>
        </w:trPr>
        <w:tc>
          <w:tcPr>
            <w:tcW w:w="7720" w:type="dxa"/>
            <w:vAlign w:val="bottom"/>
            <w:gridSpan w:val="3"/>
          </w:tcPr>
          <w:p>
            <w:pPr>
              <w:jc w:val="center"/>
              <w:ind w:left="344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4320" w:type="dxa"/>
            <w:vAlign w:val="bottom"/>
          </w:tcPr>
          <w:p>
            <w:pPr>
              <w:spacing w:after="0"/>
              <w:rPr>
                <w:sz w:val="22"/>
                <w:szCs w:val="22"/>
                <w:color w:val="auto"/>
              </w:rPr>
            </w:pPr>
          </w:p>
        </w:tc>
        <w:tc>
          <w:tcPr>
            <w:tcW w:w="3400" w:type="dxa"/>
            <w:vAlign w:val="bottom"/>
            <w:gridSpan w:val="2"/>
          </w:tcPr>
          <w:p>
            <w:pPr>
              <w:jc w:val="center"/>
              <w:ind w:right="70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4320" w:type="dxa"/>
            <w:vAlign w:val="bottom"/>
          </w:tcPr>
          <w:p>
            <w:pPr>
              <w:spacing w:after="0"/>
              <w:rPr>
                <w:sz w:val="22"/>
                <w:szCs w:val="22"/>
                <w:color w:val="auto"/>
              </w:rPr>
            </w:pPr>
          </w:p>
        </w:tc>
        <w:tc>
          <w:tcPr>
            <w:tcW w:w="3400" w:type="dxa"/>
            <w:vAlign w:val="bottom"/>
            <w:gridSpan w:val="2"/>
          </w:tcPr>
          <w:p>
            <w:pPr>
              <w:jc w:val="right"/>
              <w:ind w:right="1429"/>
              <w:spacing w:after="0"/>
              <w:rPr>
                <w:sz w:val="20"/>
                <w:szCs w:val="20"/>
                <w:color w:val="auto"/>
              </w:rPr>
            </w:pPr>
            <w:r>
              <w:rPr>
                <w:rFonts w:ascii="Times New Roman" w:cs="Times New Roman" w:eastAsia="Times New Roman" w:hAnsi="Times New Roman"/>
                <w:sz w:val="14"/>
                <w:szCs w:val="14"/>
                <w:color w:val="auto"/>
              </w:rPr>
              <w:t>(Dollars in Millions)</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2"/>
        </w:trPr>
        <w:tc>
          <w:tcPr>
            <w:tcW w:w="4320" w:type="dxa"/>
            <w:vAlign w:val="bottom"/>
          </w:tcPr>
          <w:p>
            <w:pPr>
              <w:spacing w:after="0"/>
              <w:rPr>
                <w:sz w:val="17"/>
                <w:szCs w:val="17"/>
                <w:color w:val="auto"/>
              </w:rPr>
            </w:pPr>
          </w:p>
        </w:tc>
        <w:tc>
          <w:tcPr>
            <w:tcW w:w="34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2020</w:t>
            </w: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24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2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Retirement plan and other retiree benefit adjustments</w:t>
            </w:r>
          </w:p>
        </w:tc>
        <w:tc>
          <w:tcPr>
            <w:tcW w:w="2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Gains (losses) on cash flow hedges</w:t>
            </w:r>
          </w:p>
        </w:tc>
        <w:tc>
          <w:tcPr>
            <w:tcW w:w="244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24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including noncontrolling interests</w:t>
            </w:r>
          </w:p>
        </w:tc>
        <w:tc>
          <w:tcPr>
            <w:tcW w:w="2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r>
      <w:tr>
        <w:trPr>
          <w:trHeight w:val="180"/>
        </w:trPr>
        <w:tc>
          <w:tcPr>
            <w:tcW w:w="4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2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0"/>
        </w:trPr>
        <w:tc>
          <w:tcPr>
            <w:tcW w:w="7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Cumulative translation adjustments attributable to noncontrolling interests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Comprehensive income attributable to noncontrolling interests</w:t>
            </w:r>
          </w:p>
        </w:tc>
        <w:tc>
          <w:tcPr>
            <w:tcW w:w="244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96"/>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attributable to Colgate-Palmolive Company</w:t>
            </w:r>
          </w:p>
        </w:tc>
        <w:tc>
          <w:tcPr>
            <w:tcW w:w="24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20" w:type="dxa"/>
            <w:vAlign w:val="bottom"/>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60"/>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0" w:type="dxa"/>
            <w:vAlign w:val="bottom"/>
          </w:tcPr>
          <w:p>
            <w:pPr>
              <w:spacing w:after="0"/>
              <w:rPr>
                <w:sz w:val="1"/>
                <w:szCs w:val="1"/>
                <w:color w:val="auto"/>
              </w:rPr>
            </w:pPr>
          </w:p>
        </w:tc>
      </w:tr>
      <w:tr>
        <w:trPr>
          <w:trHeight w:val="169"/>
        </w:trPr>
        <w:tc>
          <w:tcPr>
            <w:tcW w:w="8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Receivables (net of allowances of $70 and $78, respectively)</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0" w:type="dxa"/>
            <w:vAlign w:val="bottom"/>
          </w:tcPr>
          <w:p>
            <w:pPr>
              <w:spacing w:after="0"/>
              <w:rPr>
                <w:sz w:val="1"/>
                <w:szCs w:val="1"/>
                <w:color w:val="auto"/>
              </w:rPr>
            </w:pPr>
          </w:p>
        </w:tc>
      </w:tr>
      <w:tr>
        <w:trPr>
          <w:trHeight w:val="169"/>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assets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w:t>
            </w:r>
          </w:p>
        </w:tc>
        <w:tc>
          <w:tcPr>
            <w:tcW w:w="0" w:type="dxa"/>
            <w:vAlign w:val="bottom"/>
          </w:tcPr>
          <w:p>
            <w:pPr>
              <w:spacing w:after="0"/>
              <w:rPr>
                <w:sz w:val="1"/>
                <w:szCs w:val="1"/>
                <w:color w:val="auto"/>
              </w:rPr>
            </w:pPr>
          </w:p>
        </w:tc>
      </w:tr>
      <w:tr>
        <w:trPr>
          <w:trHeight w:val="169"/>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4,307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3,284</w:t>
            </w:r>
          </w:p>
        </w:tc>
        <w:tc>
          <w:tcPr>
            <w:tcW w:w="0" w:type="dxa"/>
            <w:vAlign w:val="bottom"/>
          </w:tcPr>
          <w:p>
            <w:pPr>
              <w:spacing w:after="0"/>
              <w:rPr>
                <w:sz w:val="1"/>
                <w:szCs w:val="1"/>
                <w:color w:val="auto"/>
              </w:rPr>
            </w:pPr>
          </w:p>
        </w:tc>
      </w:tr>
      <w:tr>
        <w:trPr>
          <w:trHeight w:val="169"/>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2,462</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6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15,731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3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Notes and loans payable</w:t>
            </w: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9"/>
        </w:trPr>
        <w:tc>
          <w:tcPr>
            <w:tcW w:w="8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income taxes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169"/>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accruals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w:t>
            </w:r>
          </w:p>
        </w:tc>
        <w:tc>
          <w:tcPr>
            <w:tcW w:w="0" w:type="dxa"/>
            <w:vAlign w:val="bottom"/>
          </w:tcPr>
          <w:p>
            <w:pPr>
              <w:spacing w:after="0"/>
              <w:rPr>
                <w:sz w:val="1"/>
                <w:szCs w:val="1"/>
                <w:color w:val="auto"/>
              </w:rPr>
            </w:pPr>
          </w:p>
        </w:tc>
      </w:tr>
      <w:tr>
        <w:trPr>
          <w:trHeight w:val="169"/>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7,194</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0" w:type="dxa"/>
            <w:vAlign w:val="bottom"/>
          </w:tcPr>
          <w:p>
            <w:pPr>
              <w:spacing w:after="0"/>
              <w:rPr>
                <w:sz w:val="1"/>
                <w:szCs w:val="1"/>
                <w:color w:val="auto"/>
              </w:rPr>
            </w:pPr>
          </w:p>
        </w:tc>
      </w:tr>
      <w:tr>
        <w:trPr>
          <w:trHeight w:val="16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1,797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2,429</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14,069</w:t>
            </w:r>
          </w:p>
        </w:tc>
        <w:tc>
          <w:tcPr>
            <w:tcW w:w="0" w:type="dxa"/>
            <w:vAlign w:val="bottom"/>
          </w:tcPr>
          <w:p>
            <w:pPr>
              <w:spacing w:after="0"/>
              <w:rPr>
                <w:sz w:val="1"/>
                <w:szCs w:val="1"/>
                <w:color w:val="auto"/>
              </w:rPr>
            </w:pPr>
          </w:p>
        </w:tc>
      </w:tr>
      <w:tr>
        <w:trPr>
          <w:trHeight w:val="169"/>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contingent liabilities</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 $1 par value (2,000,000,000 shares authorized, 1,465,706,360 shares issued)</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3,269</w:t>
            </w:r>
          </w:p>
        </w:tc>
        <w:tc>
          <w:tcPr>
            <w:tcW w:w="0" w:type="dxa"/>
            <w:vAlign w:val="bottom"/>
          </w:tcPr>
          <w:p>
            <w:pPr>
              <w:spacing w:after="0"/>
              <w:rPr>
                <w:sz w:val="1"/>
                <w:szCs w:val="1"/>
                <w:color w:val="auto"/>
              </w:rPr>
            </w:pPr>
          </w:p>
        </w:tc>
      </w:tr>
      <w:tr>
        <w:trPr>
          <w:trHeight w:val="169"/>
        </w:trPr>
        <w:tc>
          <w:tcPr>
            <w:tcW w:w="8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24,573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24,350</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w:t>
            </w:r>
          </w:p>
        </w:tc>
        <w:tc>
          <w:tcPr>
            <w:tcW w:w="0" w:type="dxa"/>
            <w:vAlign w:val="bottom"/>
          </w:tcPr>
          <w:p>
            <w:pPr>
              <w:spacing w:after="0"/>
              <w:rPr>
                <w:sz w:val="1"/>
                <w:szCs w:val="1"/>
                <w:color w:val="auto"/>
              </w:rPr>
            </w:pPr>
          </w:p>
        </w:tc>
      </w:tr>
      <w:tr>
        <w:trPr>
          <w:trHeight w:val="169"/>
        </w:trPr>
        <w:tc>
          <w:tcPr>
            <w:tcW w:w="8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Unearned compensation</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Treasury stock, at cost</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(25,128)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(24,089)</w:t>
            </w:r>
          </w:p>
        </w:tc>
        <w:tc>
          <w:tcPr>
            <w:tcW w:w="0" w:type="dxa"/>
            <w:vAlign w:val="bottom"/>
          </w:tcPr>
          <w:p>
            <w:pPr>
              <w:spacing w:after="0"/>
              <w:rPr>
                <w:sz w:val="1"/>
                <w:szCs w:val="1"/>
                <w:color w:val="auto"/>
              </w:rPr>
            </w:pPr>
          </w:p>
        </w:tc>
      </w:tr>
      <w:tr>
        <w:trPr>
          <w:trHeight w:val="159"/>
        </w:trPr>
        <w:tc>
          <w:tcPr>
            <w:tcW w:w="8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Colgate-Palmolive Company shareholders’ equity</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59"/>
        </w:trPr>
        <w:tc>
          <w:tcPr>
            <w:tcW w:w="8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equity</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806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15,731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76" w:name="page77"/>
    <w:bookmarkEnd w:id="76"/>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Colgate-Palmolive Company Shareholders’ Equity</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101"/>
        </w:trPr>
        <w:tc>
          <w:tcPr>
            <w:tcW w:w="30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Additional Paid-In</w:t>
            </w:r>
          </w:p>
        </w:tc>
        <w:tc>
          <w:tcPr>
            <w:tcW w:w="5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center"/>
              <w:ind w:right="43"/>
              <w:spacing w:after="0" w:line="101" w:lineRule="exact"/>
              <w:rPr>
                <w:sz w:val="20"/>
                <w:szCs w:val="20"/>
                <w:color w:val="auto"/>
              </w:rPr>
            </w:pPr>
            <w:r>
              <w:rPr>
                <w:rFonts w:ascii="Times New Roman" w:cs="Times New Roman" w:eastAsia="Times New Roman" w:hAnsi="Times New Roman"/>
                <w:sz w:val="11"/>
                <w:szCs w:val="11"/>
                <w:color w:val="auto"/>
              </w:rPr>
              <w:t>Accumulated Other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1040" w:type="dxa"/>
            <w:vAlign w:val="bottom"/>
            <w:gridSpan w:val="3"/>
            <w:vMerge w:val="continue"/>
          </w:tcPr>
          <w:p>
            <w:pPr>
              <w:spacing w:after="0"/>
              <w:rPr>
                <w:sz w:val="9"/>
                <w:szCs w:val="9"/>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color w:val="auto"/>
              </w:rPr>
              <w:t>Unearned Compensation</w:t>
            </w:r>
          </w:p>
        </w:tc>
        <w:tc>
          <w:tcPr>
            <w:tcW w:w="80" w:type="dxa"/>
            <w:vAlign w:val="bottom"/>
          </w:tcPr>
          <w:p>
            <w:pPr>
              <w:spacing w:after="0"/>
              <w:rPr>
                <w:sz w:val="9"/>
                <w:szCs w:val="9"/>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Treasury Stock</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color w:val="auto"/>
              </w:rPr>
              <w:t>Retained Earnings</w:t>
            </w:r>
          </w:p>
        </w:tc>
        <w:tc>
          <w:tcPr>
            <w:tcW w:w="80" w:type="dxa"/>
            <w:vAlign w:val="bottom"/>
          </w:tcPr>
          <w:p>
            <w:pPr>
              <w:spacing w:after="0"/>
              <w:rPr>
                <w:sz w:val="9"/>
                <w:szCs w:val="9"/>
                <w:color w:val="auto"/>
              </w:rPr>
            </w:pPr>
          </w:p>
        </w:tc>
        <w:tc>
          <w:tcPr>
            <w:tcW w:w="1460" w:type="dxa"/>
            <w:vAlign w:val="bottom"/>
            <w:gridSpan w:val="2"/>
          </w:tcPr>
          <w:p>
            <w:pPr>
              <w:jc w:val="center"/>
              <w:ind w:right="320"/>
              <w:spacing w:after="0" w:line="113" w:lineRule="exact"/>
              <w:rPr>
                <w:sz w:val="20"/>
                <w:szCs w:val="20"/>
                <w:color w:val="auto"/>
              </w:rPr>
            </w:pPr>
            <w:r>
              <w:rPr>
                <w:rFonts w:ascii="Times New Roman" w:cs="Times New Roman" w:eastAsia="Times New Roman" w:hAnsi="Times New Roman"/>
                <w:sz w:val="11"/>
                <w:szCs w:val="11"/>
                <w:color w:val="auto"/>
              </w:rPr>
              <w:t>Comprehensive Income</w:t>
            </w:r>
          </w:p>
        </w:tc>
        <w:tc>
          <w:tcPr>
            <w:tcW w:w="80" w:type="dxa"/>
            <w:vAlign w:val="bottom"/>
          </w:tcPr>
          <w:p>
            <w:pPr>
              <w:spacing w:after="0"/>
              <w:rPr>
                <w:sz w:val="9"/>
                <w:szCs w:val="9"/>
                <w:color w:val="auto"/>
              </w:rPr>
            </w:pPr>
          </w:p>
        </w:tc>
        <w:tc>
          <w:tcPr>
            <w:tcW w:w="118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Noncontrolling Interests</w:t>
            </w:r>
          </w:p>
        </w:tc>
        <w:tc>
          <w:tcPr>
            <w:tcW w:w="0" w:type="dxa"/>
            <w:vAlign w:val="bottom"/>
          </w:tcPr>
          <w:p>
            <w:pPr>
              <w:spacing w:after="0"/>
              <w:rPr>
                <w:sz w:val="1"/>
                <w:szCs w:val="1"/>
                <w:color w:val="auto"/>
              </w:rPr>
            </w:pPr>
          </w:p>
        </w:tc>
      </w:tr>
      <w:tr>
        <w:trPr>
          <w:trHeight w:val="155"/>
        </w:trPr>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rPr>
              <w:t>Capital</w:t>
            </w:r>
          </w:p>
        </w:tc>
        <w:tc>
          <w:tcPr>
            <w:tcW w:w="13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(Loss)</w:t>
            </w: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January 1, 2020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2,488</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(22,063)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22,501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(4,273)</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441</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165</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Dividends ($1.75)/per share*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Shares issued for stock options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issued for restricted stock awards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Noncontrolling interests acquired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Treasury stock acquired</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left="42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December 31, 2020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2,969</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(23,045)</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23,699</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358</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Dividends ($1.79)/per share*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Shares issued for stock options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issued for restricted stock awards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Treasury stock acquired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Balance, December 31, 2021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3,269</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center"/>
              <w:ind w:left="42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(24,089)</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24,350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362</w:t>
            </w:r>
          </w:p>
        </w:tc>
        <w:tc>
          <w:tcPr>
            <w:tcW w:w="0" w:type="dxa"/>
            <w:vAlign w:val="bottom"/>
          </w:tcPr>
          <w:p>
            <w:pPr>
              <w:spacing w:after="0"/>
              <w:rPr>
                <w:sz w:val="1"/>
                <w:szCs w:val="1"/>
                <w:color w:val="auto"/>
              </w:rPr>
            </w:pPr>
          </w:p>
        </w:tc>
      </w:tr>
      <w:tr>
        <w:trPr>
          <w:trHeight w:val="15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($1.86)/per share*</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issued for stock options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Shares issued for restricted stock awards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Treasury stock acquired</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1,466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3,546</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bottom w:val="single" w:sz="8" w:color="auto"/>
            </w:tcBorders>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(25,128)</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24,573</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(4,055)</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405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Two dividends were declared in each of the first quarters of 2022, 2021 and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9" w:right="37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color w:val="auto"/>
              </w:rPr>
              <w:t>2020</w:t>
            </w:r>
          </w:p>
        </w:tc>
        <w:tc>
          <w:tcPr>
            <w:tcW w:w="0" w:type="dxa"/>
            <w:vAlign w:val="bottom"/>
          </w:tcPr>
          <w:p>
            <w:pPr>
              <w:spacing w:after="0"/>
              <w:rPr>
                <w:sz w:val="1"/>
                <w:szCs w:val="1"/>
                <w:color w:val="auto"/>
              </w:rPr>
            </w:pPr>
          </w:p>
        </w:tc>
      </w:tr>
      <w:tr>
        <w:trPr>
          <w:trHeight w:val="150"/>
        </w:trPr>
        <w:tc>
          <w:tcPr>
            <w:tcW w:w="6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including noncontrolling interests</w:t>
            </w:r>
          </w:p>
        </w:tc>
        <w:tc>
          <w:tcPr>
            <w:tcW w:w="96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1,967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2,860</w:t>
            </w:r>
          </w:p>
        </w:tc>
        <w:tc>
          <w:tcPr>
            <w:tcW w:w="0" w:type="dxa"/>
            <w:vAlign w:val="bottom"/>
          </w:tcPr>
          <w:p>
            <w:pPr>
              <w:spacing w:after="0"/>
              <w:rPr>
                <w:sz w:val="1"/>
                <w:szCs w:val="1"/>
                <w:color w:val="auto"/>
              </w:rPr>
            </w:pPr>
          </w:p>
        </w:tc>
      </w:tr>
      <w:tr>
        <w:trPr>
          <w:trHeight w:val="153"/>
        </w:trPr>
        <w:tc>
          <w:tcPr>
            <w:tcW w:w="67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Adjustments to reconcile net income including noncontrolling interests to net cash provided by operations:</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539</w:t>
            </w:r>
          </w:p>
        </w:tc>
        <w:tc>
          <w:tcPr>
            <w:tcW w:w="0" w:type="dxa"/>
            <w:vAlign w:val="bottom"/>
          </w:tcPr>
          <w:p>
            <w:pPr>
              <w:spacing w:after="0"/>
              <w:rPr>
                <w:sz w:val="1"/>
                <w:szCs w:val="1"/>
                <w:color w:val="auto"/>
              </w:rPr>
            </w:pPr>
          </w:p>
        </w:tc>
      </w:tr>
      <w:tr>
        <w:trPr>
          <w:trHeight w:val="154"/>
        </w:trPr>
        <w:tc>
          <w:tcPr>
            <w:tcW w:w="6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Restructuring and termination benefits, net of cash</w:t>
            </w:r>
          </w:p>
        </w:tc>
        <w:tc>
          <w:tcPr>
            <w:tcW w:w="96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w:t>
            </w:r>
          </w:p>
        </w:tc>
        <w:tc>
          <w:tcPr>
            <w:tcW w:w="0" w:type="dxa"/>
            <w:vAlign w:val="bottom"/>
          </w:tcPr>
          <w:p>
            <w:pPr>
              <w:spacing w:after="0"/>
              <w:rPr>
                <w:sz w:val="1"/>
                <w:szCs w:val="1"/>
                <w:color w:val="auto"/>
              </w:rPr>
            </w:pPr>
          </w:p>
        </w:tc>
      </w:tr>
      <w:tr>
        <w:trPr>
          <w:trHeight w:val="154"/>
        </w:trPr>
        <w:tc>
          <w:tcPr>
            <w:tcW w:w="6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Gain on the sale of land</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Goodwill and intangible assets impairment charges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721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6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early extinguishment of debt</w:t>
            </w:r>
          </w:p>
        </w:tc>
        <w:tc>
          <w:tcPr>
            <w:tcW w:w="9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Deferred income taxes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0" w:type="dxa"/>
            <w:vAlign w:val="bottom"/>
          </w:tcPr>
          <w:p>
            <w:pPr>
              <w:spacing w:after="0"/>
              <w:rPr>
                <w:sz w:val="1"/>
                <w:szCs w:val="1"/>
                <w:color w:val="auto"/>
              </w:rPr>
            </w:pPr>
          </w:p>
        </w:tc>
      </w:tr>
      <w:tr>
        <w:trPr>
          <w:trHeight w:val="153"/>
        </w:trPr>
        <w:tc>
          <w:tcPr>
            <w:tcW w:w="6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Cash effects of changes in:</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Receivables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w:t>
            </w:r>
          </w:p>
        </w:tc>
        <w:tc>
          <w:tcPr>
            <w:tcW w:w="0" w:type="dxa"/>
            <w:vAlign w:val="bottom"/>
          </w:tcPr>
          <w:p>
            <w:pPr>
              <w:spacing w:after="0"/>
              <w:rPr>
                <w:sz w:val="1"/>
                <w:szCs w:val="1"/>
                <w:color w:val="auto"/>
              </w:rPr>
            </w:pPr>
          </w:p>
        </w:tc>
      </w:tr>
      <w:tr>
        <w:trPr>
          <w:trHeight w:val="154"/>
        </w:trPr>
        <w:tc>
          <w:tcPr>
            <w:tcW w:w="676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Inventories</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Accounts payable and other accruals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520</w:t>
            </w: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Other non-current assets and liabilities</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Net cash provided by operations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2,556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3,719</w:t>
            </w:r>
          </w:p>
        </w:tc>
        <w:tc>
          <w:tcPr>
            <w:tcW w:w="0" w:type="dxa"/>
            <w:vAlign w:val="bottom"/>
          </w:tcPr>
          <w:p>
            <w:pPr>
              <w:spacing w:after="0"/>
              <w:rPr>
                <w:sz w:val="1"/>
                <w:szCs w:val="1"/>
                <w:color w:val="auto"/>
              </w:rPr>
            </w:pPr>
          </w:p>
        </w:tc>
      </w:tr>
      <w:tr>
        <w:trPr>
          <w:trHeight w:val="154"/>
        </w:trPr>
        <w:tc>
          <w:tcPr>
            <w:tcW w:w="6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Capital expenditures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(696)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0" w:type="dxa"/>
            <w:vAlign w:val="bottom"/>
          </w:tcPr>
          <w:p>
            <w:pPr>
              <w:spacing w:after="0"/>
              <w:rPr>
                <w:sz w:val="1"/>
                <w:szCs w:val="1"/>
                <w:color w:val="auto"/>
              </w:rPr>
            </w:pPr>
          </w:p>
        </w:tc>
      </w:tr>
      <w:tr>
        <w:trPr>
          <w:trHeight w:val="154"/>
        </w:trPr>
        <w:tc>
          <w:tcPr>
            <w:tcW w:w="67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Purchases of marketable securities and investments</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(470)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Proceeds from sale of marketable securities and investments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w:t>
            </w:r>
          </w:p>
        </w:tc>
        <w:tc>
          <w:tcPr>
            <w:tcW w:w="0" w:type="dxa"/>
            <w:vAlign w:val="bottom"/>
          </w:tcPr>
          <w:p>
            <w:pPr>
              <w:spacing w:after="0"/>
              <w:rPr>
                <w:sz w:val="1"/>
                <w:szCs w:val="1"/>
                <w:color w:val="auto"/>
              </w:rPr>
            </w:pPr>
          </w:p>
        </w:tc>
      </w:tr>
      <w:tr>
        <w:trPr>
          <w:trHeight w:val="154"/>
        </w:trPr>
        <w:tc>
          <w:tcPr>
            <w:tcW w:w="67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Payment for acquisitions, net of cash acquired</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(809)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Proceeds from the sale of land</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investing activities</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(1,601)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(779)</w:t>
            </w:r>
          </w:p>
        </w:tc>
        <w:tc>
          <w:tcPr>
            <w:tcW w:w="0" w:type="dxa"/>
            <w:vAlign w:val="bottom"/>
          </w:tcPr>
          <w:p>
            <w:pPr>
              <w:spacing w:after="0"/>
              <w:rPr>
                <w:sz w:val="1"/>
                <w:szCs w:val="1"/>
                <w:color w:val="auto"/>
              </w:rPr>
            </w:pPr>
          </w:p>
        </w:tc>
      </w:tr>
      <w:tr>
        <w:trPr>
          <w:trHeight w:val="154"/>
        </w:trPr>
        <w:tc>
          <w:tcPr>
            <w:tcW w:w="6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Short-term borrowing (repayment) less than 90 days, net</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488</w:t>
            </w:r>
          </w:p>
        </w:tc>
        <w:tc>
          <w:tcPr>
            <w:tcW w:w="0" w:type="dxa"/>
            <w:vAlign w:val="bottom"/>
          </w:tcPr>
          <w:p>
            <w:pPr>
              <w:spacing w:after="0"/>
              <w:rPr>
                <w:sz w:val="1"/>
                <w:szCs w:val="1"/>
                <w:color w:val="auto"/>
              </w:rPr>
            </w:pPr>
          </w:p>
        </w:tc>
      </w:tr>
      <w:tr>
        <w:trPr>
          <w:trHeight w:val="159"/>
        </w:trPr>
        <w:tc>
          <w:tcPr>
            <w:tcW w:w="67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Principal payments on debt </w:t>
            </w:r>
            <w:r>
              <w:rPr>
                <w:rFonts w:ascii="Times New Roman" w:cs="Times New Roman" w:eastAsia="Times New Roman" w:hAnsi="Times New Roman"/>
                <w:sz w:val="14"/>
                <w:szCs w:val="14"/>
                <w:color w:val="auto"/>
                <w:vertAlign w:val="superscript"/>
              </w:rPr>
              <w:t>(1)</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(406)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(1,085)</w:t>
            </w:r>
          </w:p>
        </w:tc>
        <w:tc>
          <w:tcPr>
            <w:tcW w:w="0" w:type="dxa"/>
            <w:vAlign w:val="bottom"/>
          </w:tcPr>
          <w:p>
            <w:pPr>
              <w:spacing w:after="0"/>
              <w:rPr>
                <w:sz w:val="1"/>
                <w:szCs w:val="1"/>
                <w:color w:val="auto"/>
              </w:rPr>
            </w:pPr>
          </w:p>
        </w:tc>
      </w:tr>
      <w:tr>
        <w:trPr>
          <w:trHeight w:val="159"/>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Proceeds from issuance of debt</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1,513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67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Dividends paid</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(1,691)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Purchases of treasury shares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(1,476)</w:t>
            </w:r>
          </w:p>
        </w:tc>
        <w:tc>
          <w:tcPr>
            <w:tcW w:w="0" w:type="dxa"/>
            <w:vAlign w:val="bottom"/>
          </w:tcPr>
          <w:p>
            <w:pPr>
              <w:spacing w:after="0"/>
              <w:rPr>
                <w:sz w:val="1"/>
                <w:szCs w:val="1"/>
                <w:color w:val="auto"/>
              </w:rPr>
            </w:pPr>
          </w:p>
        </w:tc>
      </w:tr>
      <w:tr>
        <w:trPr>
          <w:trHeight w:val="154"/>
        </w:trPr>
        <w:tc>
          <w:tcPr>
            <w:tcW w:w="67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96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874</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Purchases of non-controlling interests in subsidiaries</w:t>
            </w:r>
          </w:p>
        </w:tc>
        <w:tc>
          <w:tcPr>
            <w:tcW w:w="9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financing activities</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(952)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(2,919)</w:t>
            </w: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(decrease) increase in Cash and cash equivalents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at beginning of year</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832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883</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at end of year</w:t>
            </w: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775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67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taxes paid</w:t>
            </w:r>
          </w:p>
        </w:tc>
        <w:tc>
          <w:tcPr>
            <w:tcW w:w="96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945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845</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20"/>
                <w:szCs w:val="20"/>
                <w:color w:val="auto"/>
              </w:rPr>
            </w:pPr>
            <w:r>
              <w:rPr>
                <w:rFonts w:ascii="Times New Roman" w:cs="Times New Roman" w:eastAsia="Times New Roman" w:hAnsi="Times New Roman"/>
                <w:sz w:val="11"/>
                <w:szCs w:val="11"/>
                <w:color w:val="auto"/>
              </w:rPr>
              <w:t>Interest paid</w:t>
            </w:r>
          </w:p>
        </w:tc>
        <w:tc>
          <w:tcPr>
            <w:tcW w:w="960" w:type="dxa"/>
            <w:vAlign w:val="bottom"/>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151</w:t>
            </w:r>
          </w:p>
        </w:tc>
        <w:tc>
          <w:tcPr>
            <w:tcW w:w="100" w:type="dxa"/>
            <w:vAlign w:val="bottom"/>
          </w:tcPr>
          <w:p>
            <w:pPr>
              <w:spacing w:after="0"/>
              <w:rPr>
                <w:sz w:val="12"/>
                <w:szCs w:val="12"/>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0" w:right="340" w:hanging="135"/>
        <w:spacing w:after="0" w:line="220" w:lineRule="auto"/>
        <w:tabs>
          <w:tab w:leader="none" w:pos="126" w:val="left"/>
        </w:tabs>
        <w:numPr>
          <w:ilvl w:val="0"/>
          <w:numId w:val="2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For the years ended December 31, 2022, 2021 and 2020, Principal payments on debt includes cash charges of $0 and $75 and $20, respectively, related to the extinguishment of debt prior to maturity. See Note 6, Long-Term Debt and Credit Facilities for additional information.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8" w:name="page79"/>
    <w:bookmarkEnd w:id="78"/>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8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Nature of Operations</w:t>
      </w:r>
    </w:p>
    <w:p>
      <w:pPr>
        <w:spacing w:after="0" w:line="202"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4"/>
          <w:szCs w:val="14"/>
          <w:color w:val="auto"/>
        </w:rPr>
        <w:t>The Company manufactures and markets a wide variety of products in the U.S. and around the world in two product segments: Oral, Personal and Home Care; and Pet Nutrition. Oral, Personal and Home Care products include toothpaste, toothbrushes, mouthwash, bar and liquid hand soaps, shower gels, shampoos, conditioners, deodorants and antiperspirants, skin health products, dishwashing detergents, fabric conditioners, household cleaners and other similar items. These products are sold primarily to a variety of traditional and eCommerce retailers, wholesalers and distributors worldwide. Pet Nutrition products include specialty pet nutrition products manufactured and marketed by Hill’s Pet Nutrition. The principal customers for Pet Nutrition products are authorized pet supply retailers, veterinarians and eCommerce retailers. Some of our products are also sold direct-to-consumer. Principal global and regional trademarks include Colgate, Palmolive, elmex, hello, meridol, Sorriso, Tom’s of Maine, EltaMD, Filorga, Irish Spring, Lady Speed Stick, PCA SKIN, Protex, Sanex, Softsoap, Speed Stick, Ajax, Axion, Fabuloso, Murphy, Soupline and Suavitel, as well as Hill’s Science Diet and Hill’s Prescription Diet.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The Company’s principal classes of products accounted for the following percentages of worldwide Net sales for the past three years: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2"/>
        </w:trPr>
        <w:tc>
          <w:tcPr>
            <w:tcW w:w="7960" w:type="dxa"/>
            <w:vAlign w:val="bottom"/>
            <w:gridSpan w:val="2"/>
          </w:tcPr>
          <w:p>
            <w:pPr>
              <w:ind w:left="7600"/>
              <w:spacing w:after="0"/>
              <w:rPr>
                <w:sz w:val="20"/>
                <w:szCs w:val="20"/>
                <w:color w:val="auto"/>
              </w:rPr>
            </w:pPr>
            <w:r>
              <w:rPr>
                <w:rFonts w:ascii="Times New Roman" w:cs="Times New Roman" w:eastAsia="Times New Roman" w:hAnsi="Times New Roman"/>
                <w:sz w:val="14"/>
                <w:szCs w:val="14"/>
                <w:color w:val="auto"/>
              </w:rPr>
              <w:t>2022</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2020</w:t>
            </w:r>
          </w:p>
        </w:tc>
      </w:tr>
      <w:tr>
        <w:trPr>
          <w:trHeight w:val="171"/>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Oral Care</w:t>
            </w:r>
          </w:p>
        </w:tc>
        <w:tc>
          <w:tcPr>
            <w:tcW w:w="8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8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Personal Care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Care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Pet Nutrition</w:t>
            </w: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91"/>
        </w:trPr>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ind w:right="8340" w:firstLine="5"/>
        <w:spacing w:after="0" w:line="539" w:lineRule="auto"/>
        <w:tabs>
          <w:tab w:leader="none" w:pos="248"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Principles of Consolidation</w:t>
      </w: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Colgate-Palmolive Company and its majority-owned or controlled subsidiaries. Intercompany transactions and balances have been eliminated. The Company’s investments in consumer products companies with interests ranging between 20% and 50%, where the Company has significant influence over the investee, are accounted for using the equity method. Net income (loss) from such investments is recorded in Other (income) expense, net in the Consolidated Statements of Income. As of December 31, 2022 and 2021, equity method investments included in Other assets in the Consolidated Balance Sheets were $70 and $64, respectively. Unrelated third parties hold the remaining ownership interests in these investments. Investments with less than a 20% interest are recorded at cost and periodically adjusted based on observable price changes or quoted market prices in active markets, if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20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The preparation of financial statements in accordance with accounting principles generally accepted in the United States of America requires management to use judgment and make estimates that affect the reported amounts of assets and liabilities and disclosure of contingent gains and losses at the date of the financial statements and the reported amounts of revenues and expenses during the reporting period. The level of uncertainty in estimates and assumptions increases with the length of time until the underlying transactions are completed. As such, the most significant uncertainty in the Company’s assumptions and estimates involved in preparing the financial statements includes pension and other retiree benefit cost assumptions, stock-based compensation, asset impairments, uncertain tax positions, tax valuation allowances and legal and other contingency reserves. Additionally, the Company uses available market information and other valuation methodologies in assessing the fair value of financial instruments and retirement plan assets. Judgment is required in interpreting market data to develop the estimates of fair value and, accordingly, changes in assumptions or the estimation methodologies may affect the fair value estimates. Actual results could ultimately differ from those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20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The Company’s revenue contracts represent a single performance obligation to sell its products to trade customers. Sales are recorded at the time control of the products is transferred to trade customers, in an amount that reflects the consideration the Company expects to be entitled to in exchange for the products. Control is the ability of trade customers to “direct the use of” and “obtain” the benefit from our products. In evaluating the timing of the transfer of control of products to trade customers, the Company considers several control indicators, including significant risks and rewards of products, the Company’s right to payment and the legal title of the products. Based on the assessment of control indicators, sales are generally recognized when products are delivered to trade customers.</w:t>
      </w:r>
    </w:p>
    <w:p>
      <w:pPr>
        <w:spacing w:after="0" w:line="164"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Net sales reflect the transaction prices for contracts, which include units shipped at selling list prices reduced by variable consideration. Variable consideration includes expected sales returns and the cost of current and continuing promotional programs. Current promotional programs primarily include product listing allowances and co-operative advertising arrangements. Continuing promotional programs are predominantly consumer coupons and volume-based sales incentive arrangements. The cost of promotional programs is estimated using the expected value method considering all reasonably available information, including the Company’s historical experience and its current expectations, and is reflected in the transaction price when sales are recorded. Adjustments to the cost of promotional programs in subsequent periods are generally not material, as the Company’s promotional programs are typically of short duration, thereby reducing the uncertainty inherent in such estimates.</w:t>
      </w:r>
    </w:p>
    <w:p>
      <w:pPr>
        <w:spacing w:after="0" w:line="16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Sales returns are generally accepted at the Company’s discretion and are not material to the Company’s Consolidated Financial Statements. The Company’s contracts with trade customers do not have significant financing components or non-cash consideration and the Company does not have unbilled revenue or significant amounts of prepayments from customers. The Company records Net sales excluding taxes collected on its sales to its trade customers. Shipping and handling activities are accounted for as contract fulfillment costs and classified as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Shipping and Handling Costs</w:t>
      </w:r>
    </w:p>
    <w:p>
      <w:pPr>
        <w:spacing w:after="0" w:line="202" w:lineRule="exact"/>
        <w:rPr>
          <w:sz w:val="20"/>
          <w:szCs w:val="20"/>
          <w:color w:val="auto"/>
        </w:rPr>
      </w:pPr>
    </w:p>
    <w:p>
      <w:pPr>
        <w:ind w:right="640" w:firstLine="255"/>
        <w:spacing w:after="0" w:line="287" w:lineRule="auto"/>
        <w:rPr>
          <w:sz w:val="20"/>
          <w:szCs w:val="20"/>
          <w:color w:val="auto"/>
        </w:rPr>
      </w:pPr>
      <w:r>
        <w:rPr>
          <w:rFonts w:ascii="Times New Roman" w:cs="Times New Roman" w:eastAsia="Times New Roman" w:hAnsi="Times New Roman"/>
          <w:sz w:val="14"/>
          <w:szCs w:val="14"/>
          <w:color w:val="auto"/>
        </w:rPr>
        <w:t>Shipping and handling costs are classified as Selling, general and administrative expenses and were $1,874, $1,687 and $1,392 for the years ended December 31, 2022, 2021 and 2020,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Costs</w:t>
      </w:r>
    </w:p>
    <w:p>
      <w:pPr>
        <w:spacing w:after="0" w:line="202"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The Company markets its products through advertising and other promotional activities. Advertising costs are included in Selling, general and administrative expenses and are expensed as incurred. Certain consumer and trade promotional programs, such as consumer coupons, are recorded as a reduction of sales.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considers all highly liquid investments with original maturities of three months or less at the time of purchase to be cash equivalents.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20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 cost of approximately 80% of inventories is determined using the FIFO method, which is stated at the lower of cost or net realizable value. The cost of all other inventories, in the U.S. and Mexico, is determined using the LIFO method, which is stated at the lower of cost or market. Inventories in excess of one year of forecasted sales are classified in the Consolidated Balance Sheets as non-current “Other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20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Land, buildings and machinery and equipment are stated at cost. Depreciation is provided, primarily using the straight-line method, over-estimated useful lives ranging from 3 to 15 years for machinery and equipment and up to 40 years for buildings. Depreciation attributable to manufacturing operations is included in Cost of sales. The remaining component of depreciation is included in Selling, general and administrative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Other Intangibles</w:t>
      </w:r>
    </w:p>
    <w:p>
      <w:pPr>
        <w:spacing w:after="0" w:line="202"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Goodwill and indefinite-life intangible assets, such as the Company’s global brands, are subject to impairment tests at least annually or when events or changes in circumstances indicate that an asset may be impaired. Other intangible assets with finite lives, such as local brands and trademarks, customer relationships and non-compete agreements, are amortized over their estimated useful lives, generally ranging from 5 to 40 years. Amortization expense related to intangible assets is included in Other (income) expense, net, which is included in Operating profit.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20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provision for income taxes is determined using the asset and liability method. Under this method, deferred tax assets and liabilities are recognized based upon the differences between the financial statement and tax bases of assets and liabilities using enacted tax rates that will be in effect at the time such differences are expected to reverse. Deferred tax assets are reduced by a valuation allowance when, in the opinion of management, it is more likely than not that some portion or all of the deferred tax assets will not be realized.</w:t>
      </w:r>
    </w:p>
    <w:p>
      <w:pPr>
        <w:spacing w:after="0" w:line="157"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The Company uses a comprehensive model to recognize, measure, present and disclose in its financial statements uncertain tax positions that the Company has taken or expects to take on an income tax return. The Company recognizes interest expense and penalties related to unrecognized tax benefits within Provision for income taxes.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Instruments</w:t>
      </w:r>
    </w:p>
    <w:p>
      <w:pPr>
        <w:spacing w:after="0" w:line="202"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Derivative instruments are recorded as assets and liabilities at estimated fair value based on available market information. The Company’s derivative instruments that qualify for hedge accounting are designated as either fair value hedges, cash flow hedges or net investment hedges. For fair value hedges, changes in the fair value of the derivative, as well as the offsetting changes in the fair value of the hedged item, are recognized in earnings each period. For cash flow hedges, changes in the fair value of the derivative are recorded in Other comprehensive income (loss) and are recognized in earnings when the offsetting effect of the hedged item is also recognized in earnings. For hedges of the net investment in foreign subsidiaries, changes in the fair value of the derivative are recorded in Other comprehensive income (loss) to offset the change in the value of the net investment being hedged. Cash flows related to hedges are classified in the same category as the cash flows from the hedged item in the Consolidated Statements of Cash Flows.</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may also enter into certain foreign currency and interest rate instruments that economically hedge certain of its risks but do not qualify for hedge accounting. Changes in fair value of these derivative instruments, based on quoted market prices, are recognized in earnings each period. The Company’s derivative instruments and other financial instruments are more fully described in Note 7, Fair Value Measurements and Financial Instruments along with the related fair value measurement considerations.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202"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The Company recognizes the cost of employee services received in exchange for awards of equity instruments, such as stock options and restricted stock units (both performance-based and time-vested), based on the fair value of those awards at the date of grant over the requisite service period. The Company uses the Black-Scholes-Merton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Black-Scholes</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option pricing model to estimate the fair value of stock option awards. In addition to performance conditions, performance-based restricted stock units also include a total shareholder return modifier. Because the total shareholder return modifier is considered a market condition, the Company uses a Monte-Carlo simulation model to determine the fair value of performance-based restricted stock units. The fair value of time-vested restricted stock units is determined based on the closing market price of the Company’s stock at the date of grant. Stock-based compensation plans, related expenses and assumptions used in the Black-Scholes option pricing model are more fully described in Note 8, Capital Stock and Stock-Based Compensation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Currency Translation</w:t>
      </w:r>
    </w:p>
    <w:p>
      <w:pPr>
        <w:spacing w:after="0" w:line="202" w:lineRule="exact"/>
        <w:rPr>
          <w:sz w:val="20"/>
          <w:szCs w:val="20"/>
          <w:color w:val="auto"/>
        </w:rPr>
      </w:pPr>
    </w:p>
    <w:p>
      <w:pPr>
        <w:ind w:right="40" w:firstLine="255"/>
        <w:spacing w:after="0" w:line="280" w:lineRule="auto"/>
        <w:rPr>
          <w:sz w:val="20"/>
          <w:szCs w:val="20"/>
          <w:color w:val="auto"/>
        </w:rPr>
      </w:pPr>
      <w:r>
        <w:rPr>
          <w:rFonts w:ascii="Times New Roman" w:cs="Times New Roman" w:eastAsia="Times New Roman" w:hAnsi="Times New Roman"/>
          <w:sz w:val="14"/>
          <w:szCs w:val="14"/>
          <w:color w:val="auto"/>
        </w:rPr>
        <w:t>The assets and liabilities of foreign subsidiaries, other than those operating in highly inflationary environments, are translated into U.S. dollars at year-end exchange rates with resulting translation gains and losses accumulated in a separate component of shareholders’ equity. Income and expense items are translated into U.S. dollars at average rates of exchange prevailing during the year.</w:t>
      </w:r>
    </w:p>
    <w:p>
      <w:pPr>
        <w:spacing w:after="0" w:line="325" w:lineRule="exact"/>
        <w:rPr>
          <w:sz w:val="20"/>
          <w:szCs w:val="20"/>
          <w:color w:val="auto"/>
        </w:rPr>
      </w:pPr>
    </w:p>
    <w:p>
      <w:pPr>
        <w:ind w:right="360" w:firstLine="255"/>
        <w:spacing w:after="0" w:line="270" w:lineRule="auto"/>
        <w:rPr>
          <w:sz w:val="20"/>
          <w:szCs w:val="20"/>
          <w:color w:val="auto"/>
        </w:rPr>
      </w:pPr>
      <w:r>
        <w:rPr>
          <w:rFonts w:ascii="Times New Roman" w:cs="Times New Roman" w:eastAsia="Times New Roman" w:hAnsi="Times New Roman"/>
          <w:sz w:val="14"/>
          <w:szCs w:val="14"/>
          <w:color w:val="auto"/>
        </w:rPr>
        <w:t>For subsidiaries operating in highly inflationary environments, local currency-denominated non-monetary assets, including inventories, goodwill and property, plant and equipment, are remeasured at their historical exchange rates, while local currency-denominated monetary assets and liabilities are remeasured at year-end exchange rates. Remeasurement adjustments for these operations are included in Net income attributable to Colgate-Palmolive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91" w:lineRule="exact"/>
        <w:rPr>
          <w:sz w:val="20"/>
          <w:szCs w:val="20"/>
          <w:color w:val="auto"/>
        </w:rPr>
      </w:pPr>
    </w:p>
    <w:p>
      <w:pPr>
        <w:ind w:firstLine="255"/>
        <w:spacing w:after="0" w:line="248" w:lineRule="auto"/>
        <w:rPr>
          <w:sz w:val="20"/>
          <w:szCs w:val="20"/>
          <w:color w:val="auto"/>
        </w:rPr>
      </w:pPr>
      <w:r>
        <w:rPr>
          <w:rFonts w:ascii="Times New Roman" w:cs="Times New Roman" w:eastAsia="Times New Roman" w:hAnsi="Times New Roman"/>
          <w:sz w:val="14"/>
          <w:szCs w:val="14"/>
          <w:color w:val="auto"/>
        </w:rPr>
        <w:t>In September 2022, the Financial Accounting Standards Board (the “FASB”) issued Accounting Standards Update (“ASU”) No. 2022-04, “Liabilities-Supplier Finance Programs (Subtopic 405-50): Disclosure of Supplier Finance Program Obligations.” This ASU requires a buyer that uses supplier finance programs to make annual disclosures about the programs’ key terms, the balance sheet presentation of related amounts, the confirmed amount outstanding at the end of the period and associated roll-forward information. The guidance, which is effective for the Company beginning on January 1, 2023 (except for the roll-forward, which is effective beginning on January 1, 2024) is not expected to have a material impact on the Company’s Consolidated Financial Statements.</w:t>
      </w:r>
    </w:p>
    <w:p>
      <w:pPr>
        <w:spacing w:after="0" w:line="173"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In March 2022, the FASB issued ASU No. 2022-02, “Financial Instruments-Credit Losses (Topic 326): Troubled Debt Restructurings and Vintage Disclosures.” This ASU eliminates the accounting guidance for troubled debt restructurings by creditors while enhancing disclosure requirements for certain loan refinancing and restructurings by creditors made to borrowers experiencing financial difficulty. The amendments also require disclosure of current-period gross write-offs by year of origination for financing receivables. This guidance is effective for the Company beginning on January 1, 2023 and is not expected to have a material impact on the Company’s Consolidated Financial Statements.</w:t>
      </w:r>
    </w:p>
    <w:p>
      <w:pPr>
        <w:spacing w:after="0" w:line="162"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4"/>
          <w:szCs w:val="14"/>
          <w:color w:val="auto"/>
        </w:rPr>
        <w:t>In March 2022, the FASB issued ASU No. 2022-01, “Derivatives and Hedging (Topic 815): Fair Value Hedging-Portfolio Layer Method.” This ASU clarifies the accounting and promotes consistency in reporting for hedges where the portfolio layer method is applied. This guidance is effective for the Company beginning on January 1, 2023 and is not expected to have an impact on the Company’s Consolidated Financial Statements.</w:t>
      </w:r>
    </w:p>
    <w:p>
      <w:pPr>
        <w:spacing w:after="0" w:line="168" w:lineRule="exact"/>
        <w:rPr>
          <w:sz w:val="20"/>
          <w:szCs w:val="20"/>
          <w:color w:val="auto"/>
        </w:rPr>
      </w:pPr>
    </w:p>
    <w:p>
      <w:pPr>
        <w:ind w:right="300" w:firstLine="255"/>
        <w:spacing w:after="0" w:line="264" w:lineRule="auto"/>
        <w:rPr>
          <w:sz w:val="20"/>
          <w:szCs w:val="20"/>
          <w:color w:val="auto"/>
        </w:rPr>
      </w:pPr>
      <w:r>
        <w:rPr>
          <w:rFonts w:ascii="Times New Roman" w:cs="Times New Roman" w:eastAsia="Times New Roman" w:hAnsi="Times New Roman"/>
          <w:sz w:val="14"/>
          <w:szCs w:val="14"/>
          <w:color w:val="auto"/>
        </w:rPr>
        <w:t>In November 2021, the FASB issued ASU No. 2021-10, “Government Assistance (Topic 832).” This ASU requires increased disclosure on an annual basis about transactions with domestic, foreign, local, regional and national governments, including entities related to those governments and intergovernmental organizations, that are accounted for by applying a grant or contribution accounting model by analogy to other accounting guidance. This guidance was effective for the Company beginning on January 1, 2022 and did not have a material impact on the Company’s Consolidated Financial Statements.</w:t>
      </w:r>
    </w:p>
    <w:p>
      <w:pPr>
        <w:spacing w:after="0" w:line="162"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In October 2021, the FASB issued ASU No. 2021-08, “Business Combinations (Topic 805): Accounting for Contract Assets and Contract Liabilities from Contracts with Customers.” This ASU requires contract assets and contract liabilities acquired in a business combination to be recognized and measured by the acquirer on the acquisition date in accordance with ASU No. 2016-10, “Revenue from Contracts with Customers (Topic 606).” This guidance is effective for the Company beginning on January 1, 2023 and is not expected to have a material impact on the Company’s Consolidated Financial Statements.</w:t>
      </w:r>
    </w:p>
    <w:p>
      <w:pPr>
        <w:spacing w:after="0" w:line="162"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In March 2020, the FASB issued ASU No. 2020-04, “Reference Rate Reform (Topic 848): Facilitation of the Effects of Reference Rate Reform on Financial Reporting,” which provides optional expedients and exceptions for applying generally accepted accounting principles (“GAAP”) to contracts, hedging relationships and other transactions that reference LIBOR or another reference rate expected to be discontinued because of reference rate reform. In January 2021, the FASB issued ASU No. 2021-01, “Reference Rate Reform (Topic 848): Scope,” which clarified that certain optional expedients and exceptions in Topic 848 apply to derivatives that are affected by the discounting transition due to reference rate reform. In December 2022, the FASB issued ASU No. 2022-06, "Reference Rate Reform (Topic 848): Deferral of the Sunset Date of Topic 848," which defers the sunset date of Topic 848 from December 31, 2022 to December 31, 2024, after which entities will no longer be permitted to apply the relief under Topic 848. We have completed our evaluation of significant contracts under this ASU. Certain of the reviewed contracts have been modified and the remaining reviewed contracts will be modified, where necessary, to apply a new reference rate, primarily the Secured Overnight Financing Rate (SOFR). Accordingly the guidance has not had and is not expected to have a material impact on the Company’s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Reclassifications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3" w:name="page84"/>
    <w:bookmarkEnd w:id="83"/>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ind w:left="240" w:hanging="235"/>
        <w:spacing w:after="0"/>
        <w:tabs>
          <w:tab w:leader="none" w:pos="24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w:t>
      </w:r>
    </w:p>
    <w:p>
      <w:pPr>
        <w:spacing w:after="0" w:line="19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Red Collar Pet Foods</w:t>
      </w:r>
    </w:p>
    <w:p>
      <w:pPr>
        <w:spacing w:after="0" w:line="191" w:lineRule="exact"/>
        <w:rPr>
          <w:sz w:val="20"/>
          <w:szCs w:val="20"/>
          <w:color w:val="auto"/>
        </w:rPr>
      </w:pPr>
    </w:p>
    <w:p>
      <w:pPr>
        <w:ind w:right="40" w:firstLine="255"/>
        <w:spacing w:after="0" w:line="248" w:lineRule="auto"/>
        <w:rPr>
          <w:sz w:val="20"/>
          <w:szCs w:val="20"/>
          <w:color w:val="auto"/>
        </w:rPr>
      </w:pPr>
      <w:r>
        <w:rPr>
          <w:rFonts w:ascii="Times New Roman" w:cs="Times New Roman" w:eastAsia="Times New Roman" w:hAnsi="Times New Roman"/>
          <w:sz w:val="14"/>
          <w:szCs w:val="14"/>
          <w:color w:val="auto"/>
        </w:rPr>
        <w:t>On September 30, 2022, the Company acquired a business that operates three dry pet food manufacturing plants in the United States, from Red Collar Pet Foods Holdings, Inc. and Red Collar Pet Foods Holdings, L.P. (collectively, “Red Collar Pet Foods”) for cash consideration of $727 (subject to adjustment for net working capital) to further support the global growth of its Hill’s Pet Nutrition business. The acquisition was financed with a combination of debt and cash and accounted for as a business combination in accordance with ASC 805. The net working capital adjustment was finalized in the fourth quarter of 2022, resulting in a decrease to the purchase price of $8 and a corresponding reduction in goodwill.</w:t>
      </w:r>
    </w:p>
    <w:p>
      <w:pPr>
        <w:spacing w:after="0" w:line="173" w:lineRule="exact"/>
        <w:rPr>
          <w:sz w:val="20"/>
          <w:szCs w:val="20"/>
          <w:color w:val="auto"/>
        </w:rPr>
      </w:pPr>
    </w:p>
    <w:p>
      <w:pPr>
        <w:jc w:val="both"/>
        <w:ind w:right="20" w:firstLine="255"/>
        <w:spacing w:after="0" w:line="287" w:lineRule="auto"/>
        <w:rPr>
          <w:sz w:val="20"/>
          <w:szCs w:val="20"/>
          <w:color w:val="auto"/>
        </w:rPr>
      </w:pPr>
      <w:r>
        <w:rPr>
          <w:rFonts w:ascii="Times New Roman" w:cs="Times New Roman" w:eastAsia="Times New Roman" w:hAnsi="Times New Roman"/>
          <w:sz w:val="14"/>
          <w:szCs w:val="14"/>
          <w:color w:val="auto"/>
        </w:rPr>
        <w:t>During the fourth quarter of 2022, the Company finalized its purchase price allocation and the final purchase price of $719 has been allocated to the net assets acquired based on their respective estimated fair values as follows:</w:t>
      </w:r>
    </w:p>
    <w:p>
      <w:pPr>
        <w:spacing w:after="0" w:line="181"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9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9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80"/>
        </w:trPr>
        <w:tc>
          <w:tcPr>
            <w:tcW w:w="9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180"/>
        </w:trPr>
        <w:tc>
          <w:tcPr>
            <w:tcW w:w="9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liabilities</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9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 liability</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9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6"/>
        </w:trPr>
        <w:tc>
          <w:tcPr>
            <w:tcW w:w="9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Fair value of net assets acquired</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Goodwill of $418 was allocated to the Pet Nutrition segment. Goodwill will not be deductible for tax purposes.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 forma results of operations have not been presented as the impact on the Company’s Consolidated Financial Statements is not material.</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Nutriamo S.r.l.</w:t>
      </w:r>
    </w:p>
    <w:p>
      <w:pPr>
        <w:spacing w:after="0" w:line="19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On April 28, 2022, the Company acquired a business that operates a pet food manufacturing plant from Nutriamo S.r.l. (“Nutriamo”), a canned pet food manufacturer based in Italy, which gives the Company additional capacity for the Hill’s wet pet nutrition diets, particularly in Europe. This acquisition was accounted for as a business combination in accordance with ASC 805. The impact of this acquisition on the Company’s Consolidated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84" w:name="page85"/>
    <w:bookmarkEnd w:id="84"/>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Restructuring and Related Implementation Charges</w:t>
      </w:r>
    </w:p>
    <w:p>
      <w:pPr>
        <w:spacing w:after="0" w:line="308" w:lineRule="exact"/>
        <w:rPr>
          <w:sz w:val="20"/>
          <w:szCs w:val="20"/>
          <w:color w:val="auto"/>
        </w:rPr>
      </w:pPr>
    </w:p>
    <w:p>
      <w:pPr>
        <w:ind w:right="200" w:firstLine="255"/>
        <w:spacing w:after="0" w:line="271" w:lineRule="auto"/>
        <w:rPr>
          <w:sz w:val="20"/>
          <w:szCs w:val="20"/>
          <w:color w:val="auto"/>
        </w:rPr>
      </w:pPr>
      <w:r>
        <w:rPr>
          <w:rFonts w:ascii="Times New Roman" w:cs="Times New Roman" w:eastAsia="Times New Roman" w:hAnsi="Times New Roman"/>
          <w:sz w:val="14"/>
          <w:szCs w:val="14"/>
          <w:color w:val="auto"/>
        </w:rPr>
        <w:t>On January 27, 2022, the Board approved a targeted productivity program (the “2022 Global Productivity Initiative”). The program is intended to reallocate resources towards the Company’s strategic priorities and faster growth businesses, drive efficiencies in the Company’s operations and streamline the Company’s supply chain to reduce structural costs.</w:t>
      </w:r>
    </w:p>
    <w:p>
      <w:pPr>
        <w:spacing w:after="0" w:line="146"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4"/>
          <w:szCs w:val="14"/>
          <w:color w:val="auto"/>
        </w:rPr>
        <w:t>Implementation of the 2022 Global Productivity Initiative, which is expected to be substantially completed by mid-year 2024, is estimated to result in cumulative pre-tax charges, once all phases are approved and implemented, in the range of $200 to $240 ($170 to $200 aftertax), which is currently estimated to be comprised of the following: employee-related costs, including severance, pension and other termination benefits (80%); asset-related costs, primarily accelerated depreciation and asset write-downs (10%); and other charges (10%), which include contract termination costs, consisting primarily of implementation-related charges resulting directly from exit activities and the implementation of new strategies. It is estimated that approximately 80% to 90% of the charges will result in cash expenditures.</w:t>
      </w:r>
    </w:p>
    <w:p>
      <w:pPr>
        <w:spacing w:after="0" w:line="176" w:lineRule="exact"/>
        <w:rPr>
          <w:sz w:val="20"/>
          <w:szCs w:val="20"/>
          <w:color w:val="auto"/>
        </w:rPr>
      </w:pPr>
    </w:p>
    <w:p>
      <w:pPr>
        <w:ind w:right="300" w:firstLine="255"/>
        <w:spacing w:after="0" w:line="271" w:lineRule="auto"/>
        <w:rPr>
          <w:sz w:val="20"/>
          <w:szCs w:val="20"/>
          <w:color w:val="auto"/>
        </w:rPr>
      </w:pPr>
      <w:r>
        <w:rPr>
          <w:rFonts w:ascii="Times New Roman" w:cs="Times New Roman" w:eastAsia="Times New Roman" w:hAnsi="Times New Roman"/>
          <w:sz w:val="14"/>
          <w:szCs w:val="14"/>
          <w:color w:val="auto"/>
        </w:rPr>
        <w:t>It is expected that the cumulative pretax charges, once all projects are approved and implemented, will relate to initiatives undertaken in North America (5%), Latin America (10%), Europe (45%), Asia Pacific (5%), Africa/Eurasia (10%), Hill’s Pet Nutrition (10%) and Corporate (15%).</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twelve months ended December 31, 2022, charges resulting from the 2022 Global Productivity Initiative are reflected in the income statement as follows:</w:t>
      </w:r>
    </w:p>
    <w:p>
      <w:pPr>
        <w:spacing w:after="0" w:line="39"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64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86"/>
        </w:trPr>
        <w:tc>
          <w:tcPr>
            <w:tcW w:w="64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jc w:val="right"/>
              <w:ind w:right="1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shd w:val="clear" w:color="auto" w:fill="CCEEFF"/>
          </w:tcPr>
          <w:p>
            <w:pPr>
              <w:spacing w:after="0"/>
              <w:rPr>
                <w:sz w:val="14"/>
                <w:szCs w:val="14"/>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0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Non-service related postretirement costs</w:t>
            </w:r>
          </w:p>
        </w:tc>
        <w:tc>
          <w:tcPr>
            <w:tcW w:w="400" w:type="dxa"/>
            <w:vAlign w:val="bottom"/>
            <w:tcBorders>
              <w:bottom w:val="single" w:sz="8" w:color="auto"/>
            </w:tcBorders>
            <w:shd w:val="clear" w:color="auto" w:fill="CCEEFF"/>
          </w:tcPr>
          <w:p>
            <w:pPr>
              <w:spacing w:after="0"/>
              <w:rPr>
                <w:sz w:val="15"/>
                <w:szCs w:val="15"/>
                <w:color w:val="auto"/>
              </w:rPr>
            </w:pP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Total 2022</w:t>
            </w:r>
          </w:p>
        </w:tc>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Global Productivity Initiative charges, pretax</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163"/>
        </w:trPr>
        <w:tc>
          <w:tcPr>
            <w:tcW w:w="640" w:type="dxa"/>
            <w:vAlign w:val="bottom"/>
            <w:shd w:val="clear" w:color="auto" w:fill="CCEEFF"/>
          </w:tcPr>
          <w:p>
            <w:pPr>
              <w:spacing w:after="0"/>
              <w:rPr>
                <w:sz w:val="14"/>
                <w:szCs w:val="14"/>
                <w:color w:val="auto"/>
              </w:rPr>
            </w:pPr>
          </w:p>
        </w:tc>
        <w:tc>
          <w:tcPr>
            <w:tcW w:w="63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spacing w:after="0"/>
              <w:rPr>
                <w:sz w:val="14"/>
                <w:szCs w:val="14"/>
                <w:color w:val="auto"/>
              </w:rPr>
            </w:pPr>
          </w:p>
        </w:tc>
      </w:tr>
      <w:tr>
        <w:trPr>
          <w:trHeight w:val="171"/>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Total 2022</w:t>
            </w:r>
          </w:p>
        </w:tc>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Global Productivity Initiative charges, aftertax</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
        </w:trPr>
        <w:tc>
          <w:tcPr>
            <w:tcW w:w="6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Restructuring and related implementation charges in the preceding table are recorded in the Corporate segment as these initiatives are predominantly centrally directed and controlled and are not included in internal measures of segment operating performance. Total charges incurred for the 2022 Global Productivity Initiative relate to initiatives undertaken by the following reportable operating segments:</w:t>
      </w:r>
    </w:p>
    <w:p>
      <w:pPr>
        <w:spacing w:after="0" w:line="182"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37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86"/>
        </w:trPr>
        <w:tc>
          <w:tcPr>
            <w:tcW w:w="6900" w:type="dxa"/>
            <w:vAlign w:val="bottom"/>
            <w:tcBorders>
              <w:bottom w:val="single" w:sz="8" w:color="CCEEFF"/>
            </w:tcBorders>
          </w:tcPr>
          <w:p>
            <w:pPr>
              <w:spacing w:after="0"/>
              <w:rPr>
                <w:sz w:val="16"/>
                <w:szCs w:val="16"/>
                <w:color w:val="auto"/>
              </w:rPr>
            </w:pPr>
          </w:p>
        </w:tc>
        <w:tc>
          <w:tcPr>
            <w:tcW w:w="3720" w:type="dxa"/>
            <w:vAlign w:val="bottom"/>
            <w:tcBorders>
              <w:bottom w:val="single" w:sz="8" w:color="auto"/>
            </w:tcBorders>
          </w:tcPr>
          <w:p>
            <w:pPr>
              <w:jc w:val="right"/>
              <w:ind w:right="16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Latin America</w:t>
            </w:r>
          </w:p>
        </w:tc>
        <w:tc>
          <w:tcPr>
            <w:tcW w:w="3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3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Africa/Eurasia</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Hill's Pet Nutrition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690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85" w:name="page86"/>
    <w:bookmarkEnd w:id="85"/>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gridSpan w:val="11"/>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activity for the restructuring and related implementation charges discussed above and the related accruals: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3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6"/>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Employee-Related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Incremental</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36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2"/>
                <w:szCs w:val="12"/>
                <w:color w:val="auto"/>
              </w:rPr>
            </w:pPr>
          </w:p>
        </w:tc>
        <w:tc>
          <w:tcPr>
            <w:tcW w:w="116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56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560" w:type="dxa"/>
            <w:vAlign w:val="bottom"/>
            <w:tcBorders>
              <w:top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w:t>
            </w:r>
          </w:p>
        </w:tc>
        <w:tc>
          <w:tcPr>
            <w:tcW w:w="15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5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 against assets</w:t>
            </w:r>
          </w:p>
        </w:tc>
        <w:tc>
          <w:tcPr>
            <w:tcW w:w="15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w:t>
            </w:r>
          </w:p>
        </w:tc>
        <w:tc>
          <w:tcPr>
            <w:tcW w:w="15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560" w:type="dxa"/>
            <w:vAlign w:val="bottom"/>
            <w:tcBorders>
              <w:top w:val="single" w:sz="8" w:color="auto"/>
              <w:bottom w:val="single" w:sz="8" w:color="auto"/>
            </w:tcBorders>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Employee-Related Costs primarily include severance and other termination benefits and are calculated based on long-standing benefit practices, written severance policies, local statutory requirements and, in certain cases, voluntary termination arrangements. Employee-Related Costs also include pension enhancements of $15 for the twelve months ended December 31, 2022, which are reflected as Charges against assets within Employee-Related Costs in the preceding tables as the corresponding balance sheet amounts are reflected as a reduction of pension assets or an increase in pension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ind w:left="255" w:hanging="255"/>
        <w:spacing w:after="0"/>
        <w:tabs>
          <w:tab w:leader="none" w:pos="255"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 and Other Intangible Assets</w:t>
      </w:r>
    </w:p>
    <w:p>
      <w:pPr>
        <w:spacing w:after="0" w:line="201" w:lineRule="exact"/>
        <w:rPr>
          <w:rFonts w:ascii="Times New Roman" w:cs="Times New Roman" w:eastAsia="Times New Roman" w:hAnsi="Times New Roman"/>
          <w:sz w:val="14"/>
          <w:szCs w:val="14"/>
          <w:b w:val="1"/>
          <w:bCs w:val="1"/>
          <w:color w:val="auto"/>
        </w:rPr>
      </w:pPr>
    </w:p>
    <w:p>
      <w:pPr>
        <w:ind w:left="255"/>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changes in net carrying value of Goodwill by segment for the years ended December 31, 2022 and 2021 were as follows:</w:t>
      </w:r>
    </w:p>
    <w:p>
      <w:pPr>
        <w:spacing w:after="0" w:line="125" w:lineRule="exact"/>
        <w:rPr>
          <w:sz w:val="20"/>
          <w:szCs w:val="20"/>
          <w:color w:val="auto"/>
        </w:rPr>
      </w:pPr>
    </w:p>
    <w:tbl>
      <w:tblPr>
        <w:tblLayout w:type="fixed"/>
        <w:tblInd w:w="255"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Beginning Balance</w:t>
            </w:r>
          </w:p>
        </w:tc>
        <w:tc>
          <w:tcPr>
            <w:tcW w:w="20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Acquisitions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Impairments</w:t>
            </w:r>
          </w:p>
        </w:tc>
        <w:tc>
          <w:tcPr>
            <w:tcW w:w="80" w:type="dxa"/>
            <w:vAlign w:val="bottom"/>
          </w:tcPr>
          <w:p>
            <w:pPr>
              <w:spacing w:after="0"/>
              <w:rPr>
                <w:sz w:val="14"/>
                <w:szCs w:val="14"/>
                <w:color w:val="auto"/>
              </w:rPr>
            </w:pPr>
          </w:p>
        </w:tc>
        <w:tc>
          <w:tcPr>
            <w:tcW w:w="18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Ending Balance</w:t>
            </w:r>
          </w:p>
        </w:tc>
        <w:tc>
          <w:tcPr>
            <w:tcW w:w="40" w:type="dxa"/>
            <w:vAlign w:val="bottom"/>
          </w:tcPr>
          <w:p>
            <w:pPr>
              <w:spacing w:after="0"/>
              <w:rPr>
                <w:sz w:val="14"/>
                <w:szCs w:val="14"/>
                <w:color w:val="auto"/>
              </w:rPr>
            </w:pPr>
          </w:p>
        </w:tc>
      </w:tr>
      <w:tr>
        <w:trPr>
          <w:trHeight w:val="17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40" w:type="dxa"/>
            <w:vAlign w:val="bottom"/>
          </w:tcPr>
          <w:p>
            <w:pPr>
              <w:spacing w:after="0"/>
              <w:rPr>
                <w:sz w:val="15"/>
                <w:szCs w:val="15"/>
                <w:color w:val="auto"/>
              </w:rPr>
            </w:pPr>
          </w:p>
        </w:tc>
      </w:tr>
      <w:tr>
        <w:trPr>
          <w:trHeight w:val="180"/>
        </w:trPr>
        <w:tc>
          <w:tcPr>
            <w:tcW w:w="2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Latin America</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40" w:type="dxa"/>
            <w:vAlign w:val="bottom"/>
          </w:tcPr>
          <w:p>
            <w:pPr>
              <w:spacing w:after="0"/>
              <w:rPr>
                <w:sz w:val="15"/>
                <w:szCs w:val="15"/>
                <w:color w:val="auto"/>
              </w:rPr>
            </w:pPr>
          </w:p>
        </w:tc>
      </w:tr>
      <w:tr>
        <w:trPr>
          <w:trHeight w:val="180"/>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Europe</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w w:val="98"/>
              </w:rPr>
              <w:t>(367)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40" w:type="dxa"/>
            <w:vAlign w:val="bottom"/>
          </w:tcPr>
          <w:p>
            <w:pPr>
              <w:spacing w:after="0"/>
              <w:rPr>
                <w:sz w:val="15"/>
                <w:szCs w:val="15"/>
                <w:color w:val="auto"/>
              </w:rPr>
            </w:pPr>
          </w:p>
        </w:tc>
      </w:tr>
      <w:tr>
        <w:trPr>
          <w:trHeight w:val="180"/>
        </w:trPr>
        <w:tc>
          <w:tcPr>
            <w:tcW w:w="2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Asia Pacific</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40" w:type="dxa"/>
            <w:vAlign w:val="bottom"/>
          </w:tcPr>
          <w:p>
            <w:pPr>
              <w:spacing w:after="0"/>
              <w:rPr>
                <w:sz w:val="15"/>
                <w:szCs w:val="15"/>
                <w:color w:val="auto"/>
              </w:rPr>
            </w:pPr>
          </w:p>
        </w:tc>
      </w:tr>
      <w:tr>
        <w:trPr>
          <w:trHeight w:val="180"/>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Africa/Eurasia</w:t>
            </w: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3"/>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5"/>
                <w:szCs w:val="15"/>
                <w:color w:val="auto"/>
              </w:rPr>
            </w:pPr>
          </w:p>
        </w:tc>
      </w:tr>
      <w:tr>
        <w:trPr>
          <w:trHeight w:val="17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w w:val="98"/>
              </w:rPr>
              <w:t>(367)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40" w:type="dxa"/>
            <w:vAlign w:val="bottom"/>
          </w:tcPr>
          <w:p>
            <w:pPr>
              <w:spacing w:after="0"/>
              <w:rPr>
                <w:sz w:val="14"/>
                <w:szCs w:val="14"/>
                <w:color w:val="auto"/>
              </w:rPr>
            </w:pP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 Nutrition</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5"/>
                <w:szCs w:val="15"/>
                <w:color w:val="auto"/>
              </w:rPr>
            </w:pPr>
          </w:p>
        </w:tc>
      </w:tr>
      <w:tr>
        <w:trPr>
          <w:trHeight w:val="17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gridSpan w:val="2"/>
          </w:tcPr>
          <w:p>
            <w:pPr>
              <w:ind w:left="1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color w:val="auto"/>
                <w:w w:val="98"/>
              </w:rPr>
              <w:t>(367)</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40" w:type="dxa"/>
            <w:vAlign w:val="bottom"/>
          </w:tcPr>
          <w:p>
            <w:pPr>
              <w:spacing w:after="0"/>
              <w:rPr>
                <w:sz w:val="14"/>
                <w:szCs w:val="14"/>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19"/>
        </w:trPr>
        <w:tc>
          <w:tcPr>
            <w:tcW w:w="2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7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Beginning Balance</w:t>
            </w:r>
          </w:p>
        </w:tc>
        <w:tc>
          <w:tcPr>
            <w:tcW w:w="200" w:type="dxa"/>
            <w:vAlign w:val="bottom"/>
          </w:tcPr>
          <w:p>
            <w:pPr>
              <w:spacing w:after="0"/>
              <w:rPr>
                <w:sz w:val="14"/>
                <w:szCs w:val="14"/>
                <w:color w:val="auto"/>
              </w:rPr>
            </w:pPr>
          </w:p>
        </w:tc>
        <w:tc>
          <w:tcPr>
            <w:tcW w:w="1380" w:type="dxa"/>
            <w:vAlign w:val="bottom"/>
            <w:gridSpan w:val="2"/>
          </w:tcPr>
          <w:p>
            <w:pPr>
              <w:jc w:val="right"/>
              <w:ind w:right="400"/>
              <w:spacing w:after="0" w:line="171" w:lineRule="exact"/>
              <w:rPr>
                <w:sz w:val="20"/>
                <w:szCs w:val="20"/>
                <w:color w:val="auto"/>
              </w:rPr>
            </w:pPr>
            <w:r>
              <w:rPr>
                <w:rFonts w:ascii="Times New Roman" w:cs="Times New Roman" w:eastAsia="Times New Roman" w:hAnsi="Times New Roman"/>
                <w:sz w:val="14"/>
                <w:szCs w:val="14"/>
                <w:color w:val="auto"/>
              </w:rPr>
              <w:t xml:space="preserve">Acquisitions </w:t>
            </w:r>
            <w:r>
              <w:rPr>
                <w:rFonts w:ascii="Times New Roman" w:cs="Times New Roman" w:eastAsia="Times New Roman" w:hAnsi="Times New Roman"/>
                <w:sz w:val="18"/>
                <w:szCs w:val="18"/>
                <w:color w:val="auto"/>
                <w:vertAlign w:val="superscript"/>
              </w:rPr>
              <w:t>(1)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Impairments</w:t>
            </w:r>
          </w:p>
        </w:tc>
        <w:tc>
          <w:tcPr>
            <w:tcW w:w="80" w:type="dxa"/>
            <w:vAlign w:val="bottom"/>
          </w:tcPr>
          <w:p>
            <w:pPr>
              <w:spacing w:after="0"/>
              <w:rPr>
                <w:sz w:val="14"/>
                <w:szCs w:val="14"/>
                <w:color w:val="auto"/>
              </w:rPr>
            </w:pPr>
          </w:p>
        </w:tc>
        <w:tc>
          <w:tcPr>
            <w:tcW w:w="1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Ending Balance</w:t>
            </w:r>
          </w:p>
        </w:tc>
        <w:tc>
          <w:tcPr>
            <w:tcW w:w="40" w:type="dxa"/>
            <w:vAlign w:val="bottom"/>
          </w:tcPr>
          <w:p>
            <w:pPr>
              <w:spacing w:after="0"/>
              <w:rPr>
                <w:sz w:val="14"/>
                <w:szCs w:val="14"/>
                <w:color w:val="auto"/>
              </w:rPr>
            </w:pPr>
          </w:p>
        </w:tc>
      </w:tr>
      <w:tr>
        <w:trPr>
          <w:trHeight w:val="17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r>
      <w:tr>
        <w:trPr>
          <w:trHeight w:val="181"/>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40" w:type="dxa"/>
            <w:vAlign w:val="bottom"/>
            <w:shd w:val="clear" w:color="auto" w:fill="CCEEFF"/>
          </w:tcPr>
          <w:p>
            <w:pPr>
              <w:spacing w:after="0"/>
              <w:rPr>
                <w:sz w:val="15"/>
                <w:szCs w:val="15"/>
                <w:color w:val="auto"/>
              </w:rPr>
            </w:pPr>
          </w:p>
        </w:tc>
      </w:tr>
      <w:tr>
        <w:trPr>
          <w:trHeight w:val="180"/>
        </w:trPr>
        <w:tc>
          <w:tcPr>
            <w:tcW w:w="2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Latin America</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0" w:type="dxa"/>
            <w:vAlign w:val="bottom"/>
          </w:tcPr>
          <w:p>
            <w:pPr>
              <w:spacing w:after="0"/>
              <w:rPr>
                <w:sz w:val="15"/>
                <w:szCs w:val="15"/>
                <w:color w:val="auto"/>
              </w:rPr>
            </w:pPr>
          </w:p>
        </w:tc>
      </w:tr>
      <w:tr>
        <w:trPr>
          <w:trHeight w:val="180"/>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Europe</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40" w:type="dxa"/>
            <w:vAlign w:val="bottom"/>
            <w:shd w:val="clear" w:color="auto" w:fill="CCEEFF"/>
          </w:tcPr>
          <w:p>
            <w:pPr>
              <w:spacing w:after="0"/>
              <w:rPr>
                <w:sz w:val="15"/>
                <w:szCs w:val="15"/>
                <w:color w:val="auto"/>
              </w:rPr>
            </w:pPr>
          </w:p>
        </w:tc>
      </w:tr>
      <w:tr>
        <w:trPr>
          <w:trHeight w:val="180"/>
        </w:trPr>
        <w:tc>
          <w:tcPr>
            <w:tcW w:w="2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Asia Pacific</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0" w:type="dxa"/>
            <w:vAlign w:val="bottom"/>
          </w:tcPr>
          <w:p>
            <w:pPr>
              <w:spacing w:after="0"/>
              <w:rPr>
                <w:sz w:val="15"/>
                <w:szCs w:val="15"/>
                <w:color w:val="auto"/>
              </w:rPr>
            </w:pPr>
          </w:p>
        </w:tc>
      </w:tr>
      <w:tr>
        <w:trPr>
          <w:trHeight w:val="180"/>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Africa/Eurasia</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shd w:val="clear" w:color="auto" w:fill="CCEEFF"/>
          </w:tcPr>
          <w:p>
            <w:pPr>
              <w:spacing w:after="0"/>
              <w:rPr>
                <w:sz w:val="15"/>
                <w:szCs w:val="15"/>
                <w:color w:val="auto"/>
              </w:rPr>
            </w:pPr>
          </w:p>
        </w:tc>
      </w:tr>
      <w:tr>
        <w:trPr>
          <w:trHeight w:val="17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40" w:type="dxa"/>
            <w:vAlign w:val="bottom"/>
            <w:tcBorders>
              <w:top w:val="single" w:sz="8" w:color="auto"/>
            </w:tcBorders>
          </w:tcPr>
          <w:p>
            <w:pPr>
              <w:spacing w:after="0"/>
              <w:rPr>
                <w:sz w:val="14"/>
                <w:szCs w:val="14"/>
                <w:color w:val="auto"/>
              </w:rPr>
            </w:pP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 Nutrition</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40" w:type="dxa"/>
            <w:vAlign w:val="bottom"/>
            <w:shd w:val="clear" w:color="auto" w:fill="CCEEFF"/>
          </w:tcPr>
          <w:p>
            <w:pPr>
              <w:spacing w:after="0"/>
              <w:rPr>
                <w:sz w:val="15"/>
                <w:szCs w:val="15"/>
                <w:color w:val="auto"/>
              </w:rPr>
            </w:pPr>
          </w:p>
        </w:tc>
      </w:tr>
      <w:tr>
        <w:trPr>
          <w:trHeight w:val="17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40" w:type="dxa"/>
            <w:vAlign w:val="bottom"/>
            <w:tcBorders>
              <w:top w:val="single" w:sz="8" w:color="auto"/>
              <w:bottom w:val="single" w:sz="8" w:color="auto"/>
            </w:tcBorders>
          </w:tcPr>
          <w:p>
            <w:pPr>
              <w:spacing w:after="0"/>
              <w:rPr>
                <w:sz w:val="14"/>
                <w:szCs w:val="14"/>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115" w:hanging="115"/>
        <w:spacing w:after="0"/>
        <w:tabs>
          <w:tab w:leader="none" w:pos="115" w:val="left"/>
        </w:tabs>
        <w:numPr>
          <w:ilvl w:val="0"/>
          <w:numId w:val="2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For information related to the Company's acquisitions, refer to Note 3,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15"/>
          </w:cols>
          <w:pgMar w:left="305" w:top="123" w:right="479" w:bottom="1440" w:gutter="0" w:footer="0" w:header="0"/>
        </w:sectPr>
      </w:pPr>
    </w:p>
    <w:bookmarkStart w:id="87" w:name="page88"/>
    <w:bookmarkEnd w:id="87"/>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gridSpan w:val="5"/>
          </w:tcPr>
          <w:p>
            <w:pPr>
              <w:jc w:val="right"/>
              <w:ind w:right="109"/>
              <w:spacing w:after="0"/>
              <w:rPr>
                <w:sz w:val="20"/>
                <w:szCs w:val="20"/>
                <w:color w:val="auto"/>
              </w:rPr>
            </w:pPr>
            <w:r>
              <w:rPr>
                <w:rFonts w:ascii="Times New Roman" w:cs="Times New Roman" w:eastAsia="Times New Roman" w:hAnsi="Times New Roman"/>
                <w:sz w:val="14"/>
                <w:szCs w:val="14"/>
                <w:color w:val="auto"/>
              </w:rPr>
              <w:t>Other intangible assets as of December 31, 2022 and 2021 were comprised of the following:</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2"/>
        </w:trPr>
        <w:tc>
          <w:tcPr>
            <w:tcW w:w="32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29"/>
        </w:trPr>
        <w:tc>
          <w:tcPr>
            <w:tcW w:w="3240" w:type="dxa"/>
            <w:vAlign w:val="bottom"/>
          </w:tcPr>
          <w:p>
            <w:pPr>
              <w:spacing w:after="0"/>
              <w:rPr>
                <w:sz w:val="11"/>
                <w:szCs w:val="11"/>
                <w:color w:val="auto"/>
              </w:rPr>
            </w:pPr>
          </w:p>
        </w:tc>
        <w:tc>
          <w:tcPr>
            <w:tcW w:w="1340" w:type="dxa"/>
            <w:vAlign w:val="bottom"/>
            <w:gridSpan w:val="3"/>
          </w:tcPr>
          <w:p>
            <w:pPr>
              <w:ind w:left="18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2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91"/>
        </w:trPr>
        <w:tc>
          <w:tcPr>
            <w:tcW w:w="3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w:t>
            </w: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Amortization</w:t>
            </w:r>
          </w:p>
        </w:tc>
        <w:tc>
          <w:tcPr>
            <w:tcW w:w="260" w:type="dxa"/>
            <w:vAlign w:val="bottom"/>
          </w:tcPr>
          <w:p>
            <w:pPr>
              <w:spacing w:after="0"/>
              <w:rPr>
                <w:sz w:val="16"/>
                <w:szCs w:val="16"/>
                <w:color w:val="auto"/>
              </w:rPr>
            </w:pPr>
          </w:p>
        </w:tc>
        <w:tc>
          <w:tcPr>
            <w:tcW w:w="7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Net</w:t>
            </w:r>
          </w:p>
        </w:tc>
      </w:tr>
      <w:tr>
        <w:trPr>
          <w:trHeight w:val="17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 finite life</w:t>
            </w: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(471)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18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finite life intangible assets</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(322)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18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Indefinite life intangible assets</w:t>
            </w: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1,212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r>
      <w:tr>
        <w:trPr>
          <w:trHeight w:val="171"/>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w:t>
            </w: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2,713</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(793)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w:t>
            </w:r>
          </w:p>
        </w:tc>
      </w:tr>
      <w:tr>
        <w:trPr>
          <w:trHeight w:val="20"/>
        </w:trPr>
        <w:tc>
          <w:tcPr>
            <w:tcW w:w="3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change in the net carrying amounts of Other intangible assets during 2022 was due to the impact of impairment charges related to the Filorga intangible assets as more fully described below, foreign currency translation and amortization expense of $80. Annual estimated amortization expense for each of the next five years is expected to be approximately $64.</w:t>
      </w:r>
    </w:p>
    <w:p>
      <w:pPr>
        <w:spacing w:after="0" w:line="145" w:lineRule="exact"/>
        <w:rPr>
          <w:sz w:val="20"/>
          <w:szCs w:val="20"/>
          <w:color w:val="auto"/>
        </w:rPr>
      </w:pPr>
    </w:p>
    <w:p>
      <w:pPr>
        <w:ind w:right="160" w:firstLine="255"/>
        <w:spacing w:after="0" w:line="257" w:lineRule="auto"/>
        <w:rPr>
          <w:sz w:val="20"/>
          <w:szCs w:val="20"/>
          <w:color w:val="auto"/>
        </w:rPr>
      </w:pPr>
      <w:r>
        <w:rPr>
          <w:rFonts w:ascii="Times New Roman" w:cs="Times New Roman" w:eastAsia="Times New Roman" w:hAnsi="Times New Roman"/>
          <w:sz w:val="14"/>
          <w:szCs w:val="14"/>
          <w:color w:val="auto"/>
        </w:rPr>
        <w:t>In the fourth quarter of 2022, the Company made revisions to the internal forecasts relating to its Filorga reporting unit due primarily to the continued impact of the COVID-19 pandemic, particularly in China, as a result of government restrictions and reduced consumer mobility, which negatively impacted consumption in the duty-free, travel retail and pharmacy channels. The Company concluded that the changes in circumstances in this reporting unit and the impact of significantly higher interest rates triggered the need for an interim impairment review of its indefinite-lived trademark, goodwill, and long-lived assets which consists primarily of customer relationships. As a result of the interim impairment test, the Company concluded that the carrying value of the trademark and customer relationships exceeded their estimated fair value, and recorded impairment charges of $300 and $89, respectively, reducing their carrying values to $257 and $118, respectively, as of December 31, 2022. After adjusting the carrying values of the trademark and customer relationship intangible assets, the Company completed a quantitative impairment test for goodwill and recorded a goodwill impairment charge of $332 in the Filorga reporting unit, reducing the carrying value of goodwill to $214 as of December 31, 2022. The goodwill and intangible assets impairment charges are presented as a separate line item in the Consolidated Statements of Income.</w:t>
      </w:r>
    </w:p>
    <w:p>
      <w:pPr>
        <w:spacing w:after="0" w:line="17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In the fourth quarter of 2021, the Company made revisions to the internal forecasts relating to its Filorga reporting unit due primarily to the impact of the COVID-19 pandemic on the Filorga skin health business as a result of government restrictions and reduced consumer mobility, which negatively impacted consumption in the duty-free, travel retail and pharmacy channels. The Company performed an impairment review and concluded that the carrying value of the trademark exceeded its estimated fair value, and recorded an impairment charge of $204, reducing the carrying value to approximately $588. After adjusting the carrying value of the trademark, the Company completed a quantitative impairment test for goodwill and recorded a goodwill impairment charge of $367 in the Filorga reporting unit, reducing the carrying value of goodwill to approximately $577.</w:t>
      </w:r>
    </w:p>
    <w:p>
      <w:pPr>
        <w:spacing w:after="0" w:line="164" w:lineRule="exact"/>
        <w:rPr>
          <w:sz w:val="20"/>
          <w:szCs w:val="20"/>
          <w:color w:val="auto"/>
        </w:rPr>
      </w:pPr>
    </w:p>
    <w:p>
      <w:pPr>
        <w:ind w:right="220" w:firstLine="255"/>
        <w:spacing w:after="0" w:line="264" w:lineRule="auto"/>
        <w:rPr>
          <w:sz w:val="20"/>
          <w:szCs w:val="20"/>
          <w:color w:val="auto"/>
        </w:rPr>
      </w:pPr>
      <w:r>
        <w:rPr>
          <w:rFonts w:ascii="Times New Roman" w:cs="Times New Roman" w:eastAsia="Times New Roman" w:hAnsi="Times New Roman"/>
          <w:sz w:val="14"/>
          <w:szCs w:val="14"/>
          <w:color w:val="auto"/>
        </w:rPr>
        <w:t>The Company used the income approach to determine the fair value of the Filorga reporting unit, indefinite-lived trademark and customer relationships that required significant judgments and estimates by management regarding several key inputs, including future cash flows consistent with management’s plans, sales growth rates, customer attrition rate, and the selection of royalty rate and a discount rate, among others. Estimating sales growth rates requires significant judgment by management in areas such as future economic conditions, category and industry growth rates, product pricing, consumer tastes and preferences and future expansion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Debt and Credit Facilities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Long-term debt consisted of the following at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1"/>
        </w:trPr>
        <w:tc>
          <w:tcPr>
            <w:tcW w:w="606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Interest Rate</w:t>
            </w:r>
          </w:p>
        </w:tc>
        <w:tc>
          <w:tcPr>
            <w:tcW w:w="15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Maturities</w:t>
            </w:r>
          </w:p>
        </w:tc>
        <w:tc>
          <w:tcPr>
            <w:tcW w:w="22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2C2C2C"/>
              </w:rPr>
              <w:t>2.6%</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2078</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w:t>
            </w: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5,958</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2C2C2C"/>
              </w:rPr>
              <w:t>2.1%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Various</w:t>
            </w: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1"/>
        </w:trPr>
        <w:tc>
          <w:tcPr>
            <w:tcW w:w="6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7,206</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8,741</w:t>
            </w:r>
          </w:p>
        </w:tc>
        <w:tc>
          <w:tcPr>
            <w:tcW w:w="3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7,194</w:t>
            </w:r>
          </w:p>
        </w:tc>
      </w:tr>
      <w:tr>
        <w:trPr>
          <w:trHeight w:val="20"/>
        </w:trPr>
        <w:tc>
          <w:tcPr>
            <w:tcW w:w="6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right="300" w:firstLine="255"/>
        <w:spacing w:after="0" w:line="276" w:lineRule="auto"/>
        <w:rPr>
          <w:sz w:val="20"/>
          <w:szCs w:val="20"/>
          <w:color w:val="auto"/>
        </w:rPr>
      </w:pPr>
      <w:r>
        <w:rPr>
          <w:rFonts w:ascii="Times New Roman" w:cs="Times New Roman" w:eastAsia="Times New Roman" w:hAnsi="Times New Roman"/>
          <w:sz w:val="14"/>
          <w:szCs w:val="14"/>
          <w:color w:val="auto"/>
        </w:rPr>
        <w:t>The Company classifies commercial paper and notes maturing within the next twelve months as long-term debt when it has the intent and ability to refinance such obligations on a long-term basis. Excluding commercial paper, scheduled maturities of long-term debt and finance leases outstanding as of December 31, 2022,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Years Ended December 31,</w:t>
            </w:r>
          </w:p>
        </w:tc>
        <w:tc>
          <w:tcPr>
            <w:tcW w:w="47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4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7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7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184"/>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w:t>
            </w:r>
          </w:p>
        </w:tc>
      </w:tr>
    </w:tbl>
    <w:p>
      <w:pPr>
        <w:spacing w:after="0" w:line="321"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Company has entered into foreign exchange contracts related to certain of these debt instruments. See Note 7, Fair Value Measurements and Financial Instruments for further information about the Company’s financial instruments.</w:t>
      </w:r>
    </w:p>
    <w:p>
      <w:pPr>
        <w:spacing w:after="0" w:line="145"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4"/>
          <w:szCs w:val="14"/>
          <w:color w:val="auto"/>
        </w:rPr>
        <w:t>The Company’s debt issuances and redemptions support its capital structure strategy objectives of funding its business and growth initiatives while minimizing its risk-adjusted cost of capital. During the third quarter of 2022, the Company issued $500 of three-year Senior Notes at a fixed coupon rate of 3.100%, $500 of five-year Senior Notes at a fixed coupon rate of 3.100% and $500 of ten-year Senior Notes at a fixed coupon rate of 3.250%.</w:t>
      </w:r>
    </w:p>
    <w:p>
      <w:pPr>
        <w:spacing w:after="0" w:line="152"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During the fourth quarter of 2021, the Company issued €500 of eight-year notes at a fixed coupon rate of 0.300%. The debt issuance was under the Company’s shelf registration statement. An amount equal to the net proceeds of the notes was allocated to finance or refinance, in part or in full, new and existing projects and programs with distinct environmental or social benefits.</w:t>
      </w:r>
    </w:p>
    <w:p>
      <w:pPr>
        <w:spacing w:after="0" w:line="135"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During the fourth quarter of 2021, the Company redeemed prior to maturity all of its outstanding 0.000% notes due 2021 with a principal amount of €500, originally issued on November 12, 2019. The redemption was financed with commercial paper borrowings. The redemption price was equal to the carrying amount of the debt extinguished.</w:t>
      </w:r>
    </w:p>
    <w:p>
      <w:pPr>
        <w:spacing w:after="0" w:line="145" w:lineRule="exact"/>
        <w:rPr>
          <w:sz w:val="20"/>
          <w:szCs w:val="20"/>
          <w:color w:val="auto"/>
        </w:rPr>
      </w:pPr>
    </w:p>
    <w:p>
      <w:pPr>
        <w:ind w:right="380" w:firstLine="255"/>
        <w:spacing w:after="0" w:line="270" w:lineRule="auto"/>
        <w:rPr>
          <w:sz w:val="20"/>
          <w:szCs w:val="20"/>
          <w:color w:val="auto"/>
        </w:rPr>
      </w:pPr>
      <w:r>
        <w:rPr>
          <w:rFonts w:ascii="Times New Roman" w:cs="Times New Roman" w:eastAsia="Times New Roman" w:hAnsi="Times New Roman"/>
          <w:sz w:val="14"/>
          <w:szCs w:val="14"/>
          <w:color w:val="auto"/>
        </w:rPr>
        <w:t>In 1990, the Company’s Canadian subsidiary (“CP Canada”), issued C$145 of Canadian dollar-denominated unsecured unsubordinated 12.85% guaranteed notes due October 4, 2030 (the “Canada notes”). During the third quarter of 2021, CP Canada redeemed the Canada notes and recorded a loss on the early extinguishment of debt of $75, which is included in Interest (income) expense, net in the Consolidated Statements of Income, representing the difference between the redemption price and the carrying amount of the debt extinguished.</w:t>
      </w:r>
    </w:p>
    <w:p>
      <w:pPr>
        <w:spacing w:after="0" w:line="157"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At December 31, 2022, the Company had access to unused domestic and foreign lines of credit of $3,401 (including under the facility discussed below) and could also issue long-term debt pursuant to an effective shelf registration statement.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November 2022, the Company entered into an amended and restated $3,000 five-year revolving credit facility with a syndicate of banks for a five-year term expiring November 2027, which replaced, on substantially similar terms, the Company's $3,000 revolving credit facility that was scheduled to expire in August 2026. Commitment fees related to the credit facility are not material.</w:t>
      </w:r>
    </w:p>
    <w:p>
      <w:pPr>
        <w:spacing w:after="0" w:line="145"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Certain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 and believes the likelihood of noncompliance is remote.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3" w:right="519" w:bottom="1440" w:gutter="0" w:footer="0" w:header="0"/>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Fair Value Measurements and Financial Instruments</w:t>
      </w:r>
    </w:p>
    <w:p>
      <w:pPr>
        <w:spacing w:after="0" w:line="202"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Company uses available market information and other valuation methodologies in assessing the fair value of financial instruments. Judgment is required in interpreting market data to develop the estimates of fair value and, accordingly, changes in assumptions or the estimation methodologies may affect the fair value estimates. The Company is exposed to the risk of credit loss in the event of nonperformance by counterparties to financial instrument contracts; however, nonperformance is considered unlikely and any nonperformance is unlikely to be material, as it is the Company’s policy to contract only with diverse, credit-worthy counterparties based upon both strong credit ratings and other credit considerations.</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Company is exposed to market risk from foreign currency exchange rates, interest rates and commodity price fluctuations. Volatility relating to these exposures is managed on a global basis by utilizing a number of techniques, including working capital management, sourcing strategies, selling price increases, selective borrowings in local currencies and entering into selective derivative instrument transactions, issued with standard features, in accordance with the Company’s treasury and risk management policies, which prohibit the use of derivatives for speculative purposes and leveraged derivatives for any purpose. It is the Company’s policy to enter into derivative instrument contracts with terms that match the underlying exposure being hedged. Provided below are details of the Company’s exposures by type of risk and derivative instruments by type of hedge designation.</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Valuation Considerations</w:t>
      </w:r>
    </w:p>
    <w:p>
      <w:pPr>
        <w:spacing w:after="0" w:line="202"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The Company’s derivative instruments include interest rate swap contracts, forward-starting interest rate swaps, foreign currency contracts and commodity contracts. The Company utilizes interest rate swap contracts to manage its targeted mix of fixed and floating rate debt, and these swaps are classified as follows: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1: Based upon quoted market prices in active markets for identical assets or liabilities.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2: Based upon observable market-based inputs or unobservable inputs that are corroborated by market data.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3: Based upon unobservable inputs reflecting the reporting entity’s own assumptions.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Foreign Exchange Risk</w:t>
      </w:r>
    </w:p>
    <w:p>
      <w:pPr>
        <w:spacing w:after="0" w:line="20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As the Company markets its products in over 200 countries and territories, it is exposed to currency fluctuations related to manufacturing and selling its products in currencies other than the U.S. dollar. The Company manages its foreign currency exposures through a combination of cost containment measures, sourcing strategies, selling price increases and the hedging of certain costs in an effort to minimize the impact on earnings of foreign currency rate movements.</w:t>
      </w:r>
    </w:p>
    <w:p>
      <w:pPr>
        <w:spacing w:after="0" w:line="15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Company primarily utilizes foreign currency contracts, including forward and swap contracts, option contracts, foreign and local currency deposits and local currency borrowings to hedge portions of its foreign currency purchases, assets and liabilities arising in the normal course of business and the net investment in certain foreign subsidiaries. The duration of foreign currency contracts generally does not exceed 12 months and the contracts are valued using observable market rates (Level 2 valuation).</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202"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Company manages its targeted mix of fixed and floating rate debt with debt issuances and by entering into interest rate swaps in order to mitigate fluctuations in earnings and cash flows that may result from interest rate volatility. The Company utilizes forward-starting interest rate swaps to mitigate the risk of variability in interest rate for future debt issuances. The notional amount, interest payment and maturity date of the swaps generally match the principal, interest payment and maturity date of the related debt, and the swaps are valued using observable benchmark rates (Level 2 valuation).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Company is exposed to price volatility related to raw materials used in production, such as essential oils, resins, tropical oils, pulp, tallow, corn, poultry and soybeans. The Company manages its raw material exposures through a combination of cost containment measures, sourcing strategies, ongoing productivity initiatives and the limited use of commodity hedging contracts. Futures contracts are used on a limited basis, primarily in the Hill’s Pet Nutrition segment, to manage volatility related to raw material inventory purchases of certain traded commodities, and these contracts are measured using quoted commodity exchange prices (Level 1 valuation). The duration of the commodity contracts generally does not exceed 12 months.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202" w:lineRule="exact"/>
        <w:rPr>
          <w:sz w:val="20"/>
          <w:szCs w:val="20"/>
          <w:color w:val="auto"/>
        </w:rPr>
      </w:pPr>
    </w:p>
    <w:p>
      <w:pPr>
        <w:jc w:val="both"/>
        <w:ind w:right="220" w:firstLine="255"/>
        <w:spacing w:after="0" w:line="287" w:lineRule="auto"/>
        <w:rPr>
          <w:sz w:val="20"/>
          <w:szCs w:val="20"/>
          <w:color w:val="auto"/>
        </w:rPr>
      </w:pPr>
      <w:r>
        <w:rPr>
          <w:rFonts w:ascii="Times New Roman" w:cs="Times New Roman" w:eastAsia="Times New Roman" w:hAnsi="Times New Roman"/>
          <w:sz w:val="14"/>
          <w:szCs w:val="14"/>
          <w:color w:val="auto"/>
        </w:rPr>
        <w:t>The Company is exposed to the risk of credit loss in the event of nonperformance by counterparties to financial instrument contracts; however, nonperformance is considered unlikely and any nonperformance is unlikely to be material as it is the Company’s policy to contract with diverse, credit-worthy counterparties based upon both strong credit ratings and other credit considerations.</w:t>
      </w:r>
    </w:p>
    <w:p>
      <w:pPr>
        <w:spacing w:after="0" w:line="145"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fair value of the Company’s derivative instruments and other financial instruments which are carried at fair value in the Company’s Consolidated Balance Sheets as of December 31, 2022 and December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Assets</w:t>
            </w:r>
          </w:p>
        </w:tc>
        <w:tc>
          <w:tcPr>
            <w:tcW w:w="6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Liabilities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171"/>
        </w:trPr>
        <w:tc>
          <w:tcPr>
            <w:tcW w:w="2720" w:type="dxa"/>
            <w:vAlign w:val="bottom"/>
          </w:tcPr>
          <w:p>
            <w:pPr>
              <w:spacing w:after="0"/>
              <w:rPr>
                <w:sz w:val="14"/>
                <w:szCs w:val="14"/>
                <w:color w:val="auto"/>
              </w:rPr>
            </w:pPr>
          </w:p>
        </w:tc>
        <w:tc>
          <w:tcPr>
            <w:tcW w:w="18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Account</w:t>
            </w:r>
          </w:p>
        </w:tc>
        <w:tc>
          <w:tcPr>
            <w:tcW w:w="100" w:type="dxa"/>
            <w:vAlign w:val="bottom"/>
          </w:tcPr>
          <w:p>
            <w:pPr>
              <w:spacing w:after="0"/>
              <w:rPr>
                <w:sz w:val="14"/>
                <w:szCs w:val="14"/>
                <w:color w:val="auto"/>
              </w:rPr>
            </w:pPr>
          </w:p>
        </w:tc>
        <w:tc>
          <w:tcPr>
            <w:tcW w:w="1740" w:type="dxa"/>
            <w:vAlign w:val="bottom"/>
            <w:gridSpan w:val="3"/>
          </w:tcPr>
          <w:p>
            <w:pPr>
              <w:ind w:left="800"/>
              <w:spacing w:after="0"/>
              <w:rPr>
                <w:sz w:val="20"/>
                <w:szCs w:val="20"/>
                <w:color w:val="auto"/>
              </w:rPr>
            </w:pPr>
            <w:r>
              <w:rPr>
                <w:rFonts w:ascii="Times New Roman" w:cs="Times New Roman" w:eastAsia="Times New Roman" w:hAnsi="Times New Roman"/>
                <w:sz w:val="14"/>
                <w:szCs w:val="14"/>
                <w:color w:val="auto"/>
              </w:rPr>
              <w:t>Fair Value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Account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Fair Value</w:t>
            </w:r>
          </w:p>
        </w:tc>
        <w:tc>
          <w:tcPr>
            <w:tcW w:w="540" w:type="dxa"/>
            <w:vAlign w:val="bottom"/>
          </w:tcPr>
          <w:p>
            <w:pPr>
              <w:spacing w:after="0"/>
              <w:rPr>
                <w:sz w:val="14"/>
                <w:szCs w:val="14"/>
                <w:color w:val="auto"/>
              </w:rPr>
            </w:pPr>
          </w:p>
        </w:tc>
      </w:tr>
      <w:tr>
        <w:trPr>
          <w:trHeight w:val="171"/>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Designated derivative instruments</w:t>
            </w:r>
          </w:p>
        </w:tc>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w w:val="99"/>
              </w:rPr>
              <w:t>December 31, 2021</w:t>
            </w:r>
          </w:p>
        </w:tc>
      </w:tr>
      <w:tr>
        <w:trPr>
          <w:trHeight w:val="171"/>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1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accruals</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Forward-starting interest rate swaps</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accruals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contracts</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accruals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designated</w:t>
            </w:r>
          </w:p>
        </w:tc>
        <w:tc>
          <w:tcPr>
            <w:tcW w:w="17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7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2"/>
        </w:trPr>
        <w:tc>
          <w:tcPr>
            <w:tcW w:w="27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financial instruments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71"/>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other financial instruments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
        </w:trPr>
        <w:tc>
          <w:tcPr>
            <w:tcW w:w="2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884"/>
        </w:trPr>
        <w:tc>
          <w:tcPr>
            <w:tcW w:w="2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87"/>
        </w:trPr>
        <w:tc>
          <w:tcPr>
            <w:tcW w:w="27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carrying amount of cash, cash equivalents, accounts receivable and short-term debt approximated fair value as of December 31, 2022 and 2021. The estimated fair value of the Company’s long-term debt, including the current portion, as of December 31, 2022 and 2021, was $8,184 and $7,651, respectively, and the related carrying value was $8,755 and $7,206, respectively. The estimated fair value of long-term debt was derived principally from quoted prices on the Company’s outstanding fixed-term notes (Level 2 valuation).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The following amounts were recorded on the Consolidated Balance Sheet related to cumulative basis adjustment for fair value hedges as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color w:val="auto"/>
              </w:rPr>
              <w:t>December 31, 2022</w:t>
            </w: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Carrying amount of hedged item</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80"/>
        </w:trPr>
        <w:tc>
          <w:tcPr>
            <w:tcW w:w="3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hedging adjustment included in the carrying amount</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3"/>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519"/>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present the notional values as of:</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7"/>
          </w:tcPr>
          <w:p>
            <w:pPr>
              <w:jc w:val="center"/>
              <w:ind w:right="109"/>
              <w:spacing w:after="0"/>
              <w:rPr>
                <w:sz w:val="20"/>
                <w:szCs w:val="20"/>
                <w:color w:val="auto"/>
              </w:rPr>
            </w:pPr>
            <w:r>
              <w:rPr>
                <w:rFonts w:ascii="Times New Roman" w:cs="Times New Roman" w:eastAsia="Times New Roman" w:hAnsi="Times New Roman"/>
                <w:sz w:val="14"/>
                <w:szCs w:val="14"/>
                <w:color w:val="auto"/>
              </w:rPr>
              <w:t>December 31, 2022</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rPr>
              <w:t>Foreign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Foreign Currency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6"/>
            <w:vMerge w:val="restart"/>
          </w:tcPr>
          <w:p>
            <w:pPr>
              <w:jc w:val="right"/>
              <w:ind w:right="289"/>
              <w:spacing w:after="0"/>
              <w:rPr>
                <w:sz w:val="20"/>
                <w:szCs w:val="20"/>
                <w:color w:val="auto"/>
              </w:rPr>
            </w:pPr>
            <w:r>
              <w:rPr>
                <w:rFonts w:ascii="Times New Roman" w:cs="Times New Roman" w:eastAsia="Times New Roman" w:hAnsi="Times New Roman"/>
                <w:sz w:val="14"/>
                <w:szCs w:val="14"/>
                <w:color w:val="auto"/>
              </w:rPr>
              <w:t>Interest Rate</w:t>
            </w:r>
          </w:p>
        </w:tc>
        <w:tc>
          <w:tcPr>
            <w:tcW w:w="1180" w:type="dxa"/>
            <w:vAlign w:val="bottom"/>
            <w:gridSpan w:val="2"/>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Forward-Starting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8"/>
            <w:vMerge w:val="restart"/>
          </w:tcPr>
          <w:p>
            <w:pPr>
              <w:jc w:val="center"/>
              <w:ind w:right="609"/>
              <w:spacing w:after="0"/>
              <w:rPr>
                <w:sz w:val="20"/>
                <w:szCs w:val="20"/>
                <w:color w:val="auto"/>
              </w:rPr>
            </w:pPr>
            <w:r>
              <w:rPr>
                <w:rFonts w:ascii="Times New Roman" w:cs="Times New Roman" w:eastAsia="Times New Roman" w:hAnsi="Times New Roman"/>
                <w:sz w:val="14"/>
                <w:szCs w:val="14"/>
                <w:color w:val="auto"/>
                <w:w w:val="98"/>
              </w:rPr>
              <w:t>Commodity</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4"/>
                <w:szCs w:val="14"/>
                <w:color w:val="auto"/>
                <w:w w:val="99"/>
              </w:rPr>
              <w:t>Currency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6"/>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8"/>
            <w:vMerge w:val="continue"/>
          </w:tcPr>
          <w:p>
            <w:pPr>
              <w:spacing w:after="0"/>
              <w:rPr>
                <w:sz w:val="11"/>
                <w:szCs w:val="11"/>
                <w:color w:val="auto"/>
              </w:rPr>
            </w:pPr>
          </w:p>
        </w:tc>
        <w:tc>
          <w:tcPr>
            <w:tcW w:w="10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Contracts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Debt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Interest Rate Swaps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8"/>
          </w:tcPr>
          <w:p>
            <w:pPr>
              <w:jc w:val="center"/>
              <w:ind w:right="609"/>
              <w:spacing w:after="0"/>
              <w:rPr>
                <w:sz w:val="20"/>
                <w:szCs w:val="20"/>
                <w:color w:val="auto"/>
              </w:rPr>
            </w:pPr>
            <w:r>
              <w:rPr>
                <w:rFonts w:ascii="Times New Roman" w:cs="Times New Roman" w:eastAsia="Times New Roman" w:hAnsi="Times New Roman"/>
                <w:sz w:val="14"/>
                <w:szCs w:val="14"/>
                <w:color w:val="auto"/>
              </w:rPr>
              <w:t>Contracts</w:t>
            </w: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Hedges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Hedges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5"/>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6"/>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color w:val="auto"/>
              </w:rPr>
              <w:t>December 31, 2021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Foreign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Foreign Currency</w:t>
            </w:r>
          </w:p>
        </w:tc>
        <w:tc>
          <w:tcPr>
            <w:tcW w:w="100" w:type="dxa"/>
            <w:vAlign w:val="bottom"/>
          </w:tcPr>
          <w:p>
            <w:pPr>
              <w:spacing w:after="0"/>
              <w:rPr>
                <w:sz w:val="11"/>
                <w:szCs w:val="11"/>
                <w:color w:val="auto"/>
              </w:rPr>
            </w:pPr>
          </w:p>
        </w:tc>
        <w:tc>
          <w:tcPr>
            <w:tcW w:w="10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color w:val="auto"/>
              </w:rPr>
              <w:t>Interest Rate</w:t>
            </w:r>
          </w:p>
        </w:tc>
        <w:tc>
          <w:tcPr>
            <w:tcW w:w="80" w:type="dxa"/>
            <w:vAlign w:val="bottom"/>
          </w:tcPr>
          <w:p>
            <w:pPr>
              <w:spacing w:after="0"/>
              <w:rPr>
                <w:sz w:val="11"/>
                <w:szCs w:val="11"/>
                <w:color w:val="auto"/>
              </w:rPr>
            </w:pPr>
          </w:p>
        </w:tc>
        <w:tc>
          <w:tcPr>
            <w:tcW w:w="13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Forward-Starting</w:t>
            </w:r>
          </w:p>
        </w:tc>
        <w:tc>
          <w:tcPr>
            <w:tcW w:w="1460" w:type="dxa"/>
            <w:vAlign w:val="bottom"/>
            <w:gridSpan w:val="8"/>
            <w:vMerge w:val="restart"/>
          </w:tcPr>
          <w:p>
            <w:pPr>
              <w:jc w:val="center"/>
              <w:ind w:right="149"/>
              <w:spacing w:after="0"/>
              <w:rPr>
                <w:sz w:val="20"/>
                <w:szCs w:val="20"/>
                <w:color w:val="auto"/>
              </w:rPr>
            </w:pPr>
            <w:r>
              <w:rPr>
                <w:rFonts w:ascii="Times New Roman" w:cs="Times New Roman" w:eastAsia="Times New Roman" w:hAnsi="Times New Roman"/>
                <w:sz w:val="14"/>
                <w:szCs w:val="14"/>
                <w:color w:val="auto"/>
              </w:rPr>
              <w:t>Commodity</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w w:val="99"/>
              </w:rPr>
              <w:t>Currency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460" w:type="dxa"/>
            <w:vAlign w:val="bottom"/>
            <w:gridSpan w:val="8"/>
            <w:vMerge w:val="continue"/>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Contracts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Debt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5"/>
          </w:tcPr>
          <w:p>
            <w:pPr>
              <w:jc w:val="right"/>
              <w:ind w:right="289"/>
              <w:spacing w:after="0"/>
              <w:rPr>
                <w:sz w:val="20"/>
                <w:szCs w:val="20"/>
                <w:color w:val="auto"/>
              </w:rPr>
            </w:pPr>
            <w:r>
              <w:rPr>
                <w:rFonts w:ascii="Times New Roman" w:cs="Times New Roman" w:eastAsia="Times New Roman" w:hAnsi="Times New Roman"/>
                <w:sz w:val="14"/>
                <w:szCs w:val="14"/>
                <w:color w:val="auto"/>
              </w:rPr>
              <w:t>Swaps</w:t>
            </w:r>
          </w:p>
        </w:tc>
        <w:tc>
          <w:tcPr>
            <w:tcW w:w="80" w:type="dxa"/>
            <w:vAlign w:val="bottom"/>
          </w:tcPr>
          <w:p>
            <w:pPr>
              <w:spacing w:after="0"/>
              <w:rPr>
                <w:sz w:val="15"/>
                <w:szCs w:val="15"/>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Interest Rate Swaps</w:t>
            </w:r>
          </w:p>
        </w:tc>
        <w:tc>
          <w:tcPr>
            <w:tcW w:w="340" w:type="dxa"/>
            <w:vAlign w:val="bottom"/>
          </w:tcPr>
          <w:p>
            <w:pPr>
              <w:spacing w:after="0"/>
              <w:rPr>
                <w:sz w:val="15"/>
                <w:szCs w:val="15"/>
                <w:color w:val="auto"/>
              </w:rPr>
            </w:pPr>
          </w:p>
        </w:tc>
        <w:tc>
          <w:tcPr>
            <w:tcW w:w="1120" w:type="dxa"/>
            <w:vAlign w:val="bottom"/>
            <w:gridSpan w:val="7"/>
          </w:tcPr>
          <w:p>
            <w:pPr>
              <w:jc w:val="center"/>
              <w:ind w:right="509"/>
              <w:spacing w:after="0"/>
              <w:rPr>
                <w:sz w:val="20"/>
                <w:szCs w:val="20"/>
                <w:color w:val="auto"/>
              </w:rPr>
            </w:pPr>
            <w:r>
              <w:rPr>
                <w:rFonts w:ascii="Times New Roman" w:cs="Times New Roman" w:eastAsia="Times New Roman" w:hAnsi="Times New Roman"/>
                <w:sz w:val="14"/>
                <w:szCs w:val="14"/>
                <w:color w:val="auto"/>
              </w:rPr>
              <w:t>Contracts</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Hedges</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Hedges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gridSpan w:val="4"/>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4,773</w:t>
            </w:r>
          </w:p>
        </w:tc>
        <w:tc>
          <w:tcPr>
            <w:tcW w:w="0" w:type="dxa"/>
            <w:vAlign w:val="bottom"/>
          </w:tcPr>
          <w:p>
            <w:pPr>
              <w:spacing w:after="0"/>
              <w:rPr>
                <w:sz w:val="1"/>
                <w:szCs w:val="1"/>
                <w:color w:val="auto"/>
              </w:rPr>
            </w:pPr>
          </w:p>
        </w:tc>
      </w:tr>
      <w:tr>
        <w:trPr>
          <w:trHeight w:val="901"/>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91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The following table presents the location and amount of gains (losses) on hedges recognized on the Company’s Consolidated Statements of Income:</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Twelve Months Ended December 31,</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w w:val="99"/>
              </w:rPr>
              <w:t>2022</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w w:val="99"/>
              </w:rPr>
              <w:t>2021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Selling, general and</w:t>
            </w:r>
          </w:p>
        </w:tc>
        <w:tc>
          <w:tcPr>
            <w:tcW w:w="11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Interest (income)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rPr>
              <w:t>Selling, general and</w:t>
            </w:r>
          </w:p>
        </w:tc>
        <w:tc>
          <w:tcPr>
            <w:tcW w:w="100" w:type="dxa"/>
            <w:vAlign w:val="bottom"/>
          </w:tcPr>
          <w:p>
            <w:pPr>
              <w:spacing w:after="0"/>
              <w:rPr>
                <w:sz w:val="11"/>
                <w:szCs w:val="11"/>
                <w:color w:val="auto"/>
              </w:rPr>
            </w:pPr>
          </w:p>
        </w:tc>
        <w:tc>
          <w:tcPr>
            <w:tcW w:w="1040" w:type="dxa"/>
            <w:vAlign w:val="bottom"/>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w w:val="97"/>
              </w:rPr>
              <w:t>Interest (income)</w:t>
            </w:r>
          </w:p>
        </w:tc>
        <w:tc>
          <w:tcPr>
            <w:tcW w:w="0" w:type="dxa"/>
            <w:vAlign w:val="bottom"/>
          </w:tcPr>
          <w:p>
            <w:pPr>
              <w:spacing w:after="0"/>
              <w:rPr>
                <w:sz w:val="1"/>
                <w:szCs w:val="1"/>
                <w:color w:val="auto"/>
              </w:rPr>
            </w:pPr>
          </w:p>
        </w:tc>
      </w:tr>
      <w:tr>
        <w:trPr>
          <w:trHeight w:val="191"/>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Cost of sales</w:t>
            </w:r>
          </w:p>
        </w:tc>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administrative expenses</w:t>
            </w:r>
          </w:p>
        </w:tc>
        <w:tc>
          <w:tcPr>
            <w:tcW w:w="1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expense, net</w:t>
            </w:r>
          </w:p>
        </w:tc>
        <w:tc>
          <w:tcPr>
            <w:tcW w:w="1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administrative expenses</w:t>
            </w:r>
          </w:p>
        </w:tc>
        <w:tc>
          <w:tcPr>
            <w:tcW w:w="100" w:type="dxa"/>
            <w:vAlign w:val="bottom"/>
          </w:tcPr>
          <w:p>
            <w:pPr>
              <w:spacing w:after="0"/>
              <w:rPr>
                <w:sz w:val="16"/>
                <w:szCs w:val="16"/>
                <w:color w:val="auto"/>
              </w:rPr>
            </w:pPr>
          </w:p>
        </w:tc>
        <w:tc>
          <w:tcPr>
            <w:tcW w:w="10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expense, net</w:t>
            </w:r>
          </w:p>
        </w:tc>
        <w:tc>
          <w:tcPr>
            <w:tcW w:w="0" w:type="dxa"/>
            <w:vAlign w:val="bottom"/>
          </w:tcPr>
          <w:p>
            <w:pPr>
              <w:spacing w:after="0"/>
              <w:rPr>
                <w:sz w:val="1"/>
                <w:szCs w:val="1"/>
                <w:color w:val="auto"/>
              </w:rPr>
            </w:pPr>
          </w:p>
        </w:tc>
      </w:tr>
      <w:tr>
        <w:trPr>
          <w:trHeight w:val="161"/>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 on hedges recognized in income:</w:t>
            </w: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Interest rate swaps designated as fair</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value hedges: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Derivative instrument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2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Hedged items</w:t>
            </w:r>
          </w:p>
        </w:tc>
        <w:tc>
          <w:tcPr>
            <w:tcW w:w="14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580" w:type="dxa"/>
            <w:vAlign w:val="bottom"/>
            <w:gridSpan w:val="2"/>
          </w:tcPr>
          <w:p>
            <w:pPr>
              <w:jc w:val="center"/>
              <w:ind w:left="8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38"/>
        </w:trPr>
        <w:tc>
          <w:tcPr>
            <w:tcW w:w="27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Foreign currency contracts designated as</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hedges:</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Derivative instrument</w:t>
            </w:r>
          </w:p>
        </w:tc>
        <w:tc>
          <w:tcPr>
            <w:tcW w:w="14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80" w:type="dxa"/>
            <w:vAlign w:val="bottom"/>
          </w:tcPr>
          <w:p>
            <w:pPr>
              <w:jc w:val="center"/>
              <w:ind w:left="1049"/>
              <w:spacing w:after="0"/>
              <w:rPr>
                <w:sz w:val="20"/>
                <w:szCs w:val="20"/>
                <w:color w:val="auto"/>
              </w:rPr>
            </w:pPr>
            <w:r>
              <w:rPr>
                <w:rFonts w:ascii="Times New Roman" w:cs="Times New Roman" w:eastAsia="Times New Roman" w:hAnsi="Times New Roman"/>
                <w:sz w:val="14"/>
                <w:szCs w:val="14"/>
                <w:color w:val="auto"/>
                <w:w w:val="99"/>
              </w:rPr>
              <w:t>44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Hedged items</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left="1029"/>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72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Foreign currency contracts designated as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Amount reclassified from OCI</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72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Commodity contracts designated as cash</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Amount reclassified from OCI</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72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Forward-starting interest rate swaps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designated as cash flow hedges: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Amount reclassified from OCI</w:t>
            </w: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ind w:left="104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7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Total gain (loss) on hedges recognized in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vMerge w:val="restart"/>
          </w:tcPr>
          <w:p>
            <w:pPr>
              <w:jc w:val="center"/>
              <w:ind w:left="8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location and amount of gains (losses) on hedges included in OCI:</w:t>
            </w: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3"/>
        </w:trPr>
        <w:tc>
          <w:tcPr>
            <w:tcW w:w="6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8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Twelve Months Ended</w:t>
            </w:r>
          </w:p>
        </w:tc>
        <w:tc>
          <w:tcPr>
            <w:tcW w:w="1400" w:type="dxa"/>
            <w:vAlign w:val="bottom"/>
          </w:tcPr>
          <w:p>
            <w:pPr>
              <w:spacing w:after="0"/>
              <w:rPr>
                <w:sz w:val="19"/>
                <w:szCs w:val="19"/>
                <w:color w:val="auto"/>
              </w:rPr>
            </w:pPr>
          </w:p>
        </w:tc>
      </w:tr>
      <w:tr>
        <w:trPr>
          <w:trHeight w:val="212"/>
        </w:trPr>
        <w:tc>
          <w:tcPr>
            <w:tcW w:w="68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color w:val="auto"/>
              </w:rPr>
              <w:t>December 31,</w:t>
            </w:r>
          </w:p>
        </w:tc>
        <w:tc>
          <w:tcPr>
            <w:tcW w:w="1400" w:type="dxa"/>
            <w:vAlign w:val="bottom"/>
            <w:tcBorders>
              <w:bottom w:val="single" w:sz="8" w:color="auto"/>
            </w:tcBorders>
          </w:tcPr>
          <w:p>
            <w:pPr>
              <w:spacing w:after="0"/>
              <w:rPr>
                <w:sz w:val="18"/>
                <w:szCs w:val="18"/>
                <w:color w:val="auto"/>
              </w:rPr>
            </w:pPr>
          </w:p>
        </w:tc>
      </w:tr>
      <w:tr>
        <w:trPr>
          <w:trHeight w:val="192"/>
        </w:trPr>
        <w:tc>
          <w:tcPr>
            <w:tcW w:w="68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2022</w:t>
            </w: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rPr>
              <w:t>2021</w:t>
            </w:r>
          </w:p>
        </w:tc>
      </w:tr>
      <w:tr>
        <w:trPr>
          <w:trHeight w:val="16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 contracts designated as cash flow hedges:</w:t>
            </w:r>
          </w:p>
        </w:tc>
        <w:tc>
          <w:tcPr>
            <w:tcW w:w="1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recognized in OCI</w:t>
            </w:r>
          </w:p>
        </w:tc>
        <w:tc>
          <w:tcPr>
            <w:tcW w:w="140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72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Forward-starting interest rate swaps designated as cash flow hedges: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recognized in OCI</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 contracts designated as cash flow hedges: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recognized in OCI</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 contracts designated as net investment hedges: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instruments</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hedged items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 debt designated as net investment hedges:</w:t>
            </w:r>
          </w:p>
        </w:tc>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instruments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 (loss) on hedged items</w:t>
            </w: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gain (loss) on hedges recognized in OCI</w:t>
            </w:r>
          </w:p>
        </w:tc>
        <w:tc>
          <w:tcPr>
            <w:tcW w:w="140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ind w:right="7860" w:firstLine="5"/>
        <w:spacing w:after="0" w:line="539" w:lineRule="auto"/>
        <w:tabs>
          <w:tab w:leader="none" w:pos="248"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Capital Stock and Stock-Based Compensation Plans Preference Stock</w:t>
      </w: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the authority to issue 50,262,150 shares of preference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Repurchases</w:t>
      </w:r>
    </w:p>
    <w:p>
      <w:pPr>
        <w:spacing w:after="0" w:line="202"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On March 10, 2022, the Board authorized the repurchase of shares of the Company’s common stock having an aggregate purchase price of up to $5 billion under a new share repurchase program (the “2022 Program”), which replaced a previously authorized share repurchase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 The Company repurchased its common stock at a cost of $1,308 during 2022.</w:t>
      </w:r>
    </w:p>
    <w:p>
      <w:pPr>
        <w:spacing w:after="0" w:line="162"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Company may use either authorized and unissued shares or treasury shares to meet share requirements resulting from the exercise of stock options and the vesting of restricted stock unit awards.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 summary of common stock and treasury stock activity for the three years ended December 31 is as follows:</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60"/>
        </w:trPr>
        <w:tc>
          <w:tcPr>
            <w:tcW w:w="8300" w:type="dxa"/>
            <w:vAlign w:val="bottom"/>
          </w:tcPr>
          <w:p>
            <w:pPr>
              <w:spacing w:after="0"/>
              <w:rPr>
                <w:sz w:val="13"/>
                <w:szCs w:val="13"/>
                <w:color w:val="auto"/>
              </w:rPr>
            </w:pPr>
          </w:p>
        </w:tc>
        <w:tc>
          <w:tcPr>
            <w:tcW w:w="15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rPr>
              <w:t>Common Stock</w:t>
            </w:r>
          </w:p>
        </w:tc>
        <w:tc>
          <w:tcPr>
            <w:tcW w:w="1440" w:type="dxa"/>
            <w:vAlign w:val="bottom"/>
          </w:tcPr>
          <w:p>
            <w:pPr>
              <w:spacing w:after="0"/>
              <w:rPr>
                <w:sz w:val="13"/>
                <w:szCs w:val="13"/>
                <w:color w:val="auto"/>
              </w:rPr>
            </w:pPr>
          </w:p>
        </w:tc>
      </w:tr>
      <w:tr>
        <w:trPr>
          <w:trHeight w:val="191"/>
        </w:trPr>
        <w:tc>
          <w:tcPr>
            <w:tcW w:w="83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Outstanding</w:t>
            </w:r>
          </w:p>
        </w:tc>
        <w:tc>
          <w:tcPr>
            <w:tcW w:w="14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Treasury Stock</w:t>
            </w:r>
          </w:p>
        </w:tc>
      </w:tr>
      <w:tr>
        <w:trPr>
          <w:trHeight w:val="171"/>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854,701,779</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611,004,581</w:t>
            </w:r>
          </w:p>
        </w:tc>
      </w:tr>
      <w:tr>
        <w:trPr>
          <w:trHeight w:val="212"/>
        </w:trPr>
        <w:tc>
          <w:tcPr>
            <w:tcW w:w="8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acquired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(18,701,843)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18,701,843</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for stock options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13,018,354</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(13,018,354)</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issued for restricted stock units and other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875,311</w:t>
            </w:r>
          </w:p>
        </w:tc>
        <w:tc>
          <w:tcPr>
            <w:tcW w:w="8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(875,311)</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849,893,601</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615,812,759</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3"/>
        </w:trPr>
        <w:tc>
          <w:tcPr>
            <w:tcW w:w="8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acquired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(16,518,163)</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16,518,163</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issued for stock options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6,357,793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(6,357,793)</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Shares issued for restricted stock units and other</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747,053</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(747,053)</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840,480,284</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625,226,076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acquired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(17,060,788)</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17,060,788</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for stock options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5,654,692</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(5,654,692)</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issued for restricted stock units and other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1,138,418</w:t>
            </w:r>
          </w:p>
        </w:tc>
        <w:tc>
          <w:tcPr>
            <w:tcW w:w="8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(1,138,418)</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830,212,606</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635,493,754</w:t>
            </w:r>
          </w:p>
        </w:tc>
      </w:tr>
      <w:tr>
        <w:trPr>
          <w:trHeight w:val="20"/>
        </w:trPr>
        <w:tc>
          <w:tcPr>
            <w:tcW w:w="8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6" w:name="page97"/>
    <w:bookmarkEnd w:id="96"/>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202"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The Company recognizes the cost of employee services received in exchange for awards of equity instruments, such as stock options and restricted stock units, based on the fair value of those awards at the date of grant. The fair value of restricted stock units, generally based on market prices, is amortized on a straight-line basis over the requisite service period. The estimated fair value of stock options on the date of grant is amortized on a straight-line basis over the requisite service period for each separately vesting portion of the award. Awards to employees eligible for retirement prior to the award becoming fully vested are recognized as compensation cost from the grant date through the date that the employee first becomes eligible to retire and is no longer required to provide service to earn the award.</w:t>
      </w:r>
    </w:p>
    <w:p>
      <w:pPr>
        <w:spacing w:after="0" w:line="164"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The Company has one incentive compensation plan pursuant to which it issues restricted stock units (both performance-based and time-vested) and stock options to employees and shares of common stock and stock options to non-employee directors. The Personnel and Organization Committee of the Board of Directors, which is comprised entirely of independent directors, administers the incentive compensation plan. The total stock-based compensation expense charged against pretax income for this plan was $125, $135 and $107 for the years ended December 31, 2022, 2021 and 2020, respectively. The total income tax benefit recognized on stock-based compensation, excluding excess tax benefits, was approximately $25, $25 and $20 for the years ended December 31, 2022, 2021 and 2020, respectively.</w:t>
      </w:r>
    </w:p>
    <w:p>
      <w:pPr>
        <w:spacing w:after="0" w:line="164"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Stock-based compensation expense is recorded within Selling, general and administrative expenses in the Corporate segment as these amounts are not included in internal measures of segment operating performance.</w:t>
      </w:r>
    </w:p>
    <w:p>
      <w:pPr>
        <w:spacing w:after="0" w:line="145" w:lineRule="exact"/>
        <w:rPr>
          <w:sz w:val="20"/>
          <w:szCs w:val="20"/>
          <w:color w:val="auto"/>
        </w:rPr>
      </w:pPr>
    </w:p>
    <w:p>
      <w:pPr>
        <w:ind w:right="140" w:firstLine="255"/>
        <w:spacing w:after="0" w:line="268" w:lineRule="auto"/>
        <w:rPr>
          <w:sz w:val="20"/>
          <w:szCs w:val="20"/>
          <w:color w:val="auto"/>
        </w:rPr>
      </w:pPr>
      <w:r>
        <w:rPr>
          <w:rFonts w:ascii="Times New Roman" w:cs="Times New Roman" w:eastAsia="Times New Roman" w:hAnsi="Times New Roman"/>
          <w:sz w:val="14"/>
          <w:szCs w:val="14"/>
          <w:color w:val="auto"/>
        </w:rPr>
        <w:t>The Company uses the Black-Scholes option pricing model to estimate the fair value of stock option awards. The weighted-average estimated fair value of stock options granted in the years ended December 31, 2022, 2021 and 2020 was $14.71, $11.11 and $11.26, respectively. Fair value is estimated using the Black-Scholes option pricing model with the assumptions summarized in the following table:</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7900" w:type="dxa"/>
            <w:vAlign w:val="bottom"/>
            <w:gridSpan w:val="2"/>
          </w:tcPr>
          <w:p>
            <w:pPr>
              <w:ind w:left="7560"/>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12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2020</w:t>
            </w:r>
          </w:p>
        </w:tc>
      </w:tr>
      <w:tr>
        <w:trPr>
          <w:trHeight w:val="171"/>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of options</w:t>
            </w:r>
          </w:p>
        </w:tc>
        <w:tc>
          <w:tcPr>
            <w:tcW w:w="8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years</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years</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ye</w:t>
            </w:r>
          </w:p>
        </w:tc>
      </w:tr>
      <w:tr>
        <w:trPr>
          <w:trHeight w:val="18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21.1 %</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18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247"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weighted-average expected term of options granted each year was determined with reference to historical exercise and post-vesting cancellation experience, the vesting period of the awards and the contractual term of the awards, among other factors. Expected volatility incorporates implied share-price volatility derived from exchange traded options on the Company’s common stock. The risk-free interest rate for the expected term of the option is based on the yield of a zero-coupon U.S. Treasury bond with a maturity period equal to the option’s expected term.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3"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Performance-based Restricted Stock Units</w:t>
      </w:r>
    </w:p>
    <w:p>
      <w:pPr>
        <w:spacing w:after="0" w:line="202"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Under the Company's long-term incentive compensation program, the Company grants officers and other key employees a target number of unearned performance-based restricted stock units at the beginning of each three-year performance cycle. Awards are earned and vest following the conclusion of the performance period on the basis of achievement of performance goals established at the commencement of each three-year performance period.</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 summary of performance-based restricted stock unit activity for the year ended December 31, 2022 is presented below:</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60"/>
        </w:trPr>
        <w:tc>
          <w:tcPr>
            <w:tcW w:w="7260" w:type="dxa"/>
            <w:vAlign w:val="bottom"/>
          </w:tcPr>
          <w:p>
            <w:pPr>
              <w:spacing w:after="0"/>
              <w:rPr>
                <w:sz w:val="13"/>
                <w:szCs w:val="13"/>
                <w:color w:val="auto"/>
              </w:rPr>
            </w:pPr>
          </w:p>
        </w:tc>
        <w:tc>
          <w:tcPr>
            <w:tcW w:w="1260" w:type="dxa"/>
            <w:vAlign w:val="bottom"/>
          </w:tcPr>
          <w:p>
            <w:pPr>
              <w:jc w:val="center"/>
              <w:ind w:left="329"/>
              <w:spacing w:after="0" w:line="159" w:lineRule="exact"/>
              <w:rPr>
                <w:sz w:val="20"/>
                <w:szCs w:val="20"/>
                <w:color w:val="auto"/>
              </w:rPr>
            </w:pPr>
            <w:r>
              <w:rPr>
                <w:rFonts w:ascii="Times New Roman" w:cs="Times New Roman" w:eastAsia="Times New Roman" w:hAnsi="Times New Roman"/>
                <w:sz w:val="14"/>
                <w:szCs w:val="14"/>
                <w:color w:val="auto"/>
              </w:rPr>
              <w:t>Shares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right"/>
              <w:ind w:right="69"/>
              <w:spacing w:after="0" w:line="159" w:lineRule="exact"/>
              <w:rPr>
                <w:sz w:val="20"/>
                <w:szCs w:val="20"/>
                <w:color w:val="auto"/>
              </w:rPr>
            </w:pPr>
            <w:r>
              <w:rPr>
                <w:rFonts w:ascii="Times New Roman" w:cs="Times New Roman" w:eastAsia="Times New Roman" w:hAnsi="Times New Roman"/>
                <w:sz w:val="14"/>
                <w:szCs w:val="14"/>
                <w:color w:val="auto"/>
              </w:rPr>
              <w:t>Weighted Average Grant Date Fair</w:t>
            </w:r>
          </w:p>
        </w:tc>
      </w:tr>
      <w:tr>
        <w:trPr>
          <w:trHeight w:val="187"/>
        </w:trPr>
        <w:tc>
          <w:tcPr>
            <w:tcW w:w="72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Value Per Award</w:t>
            </w:r>
          </w:p>
        </w:tc>
      </w:tr>
      <w:tr>
        <w:trPr>
          <w:trHeight w:val="17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Performance-based restricted stock units as of January 1, 2022</w:t>
            </w:r>
          </w:p>
        </w:tc>
        <w:tc>
          <w:tcPr>
            <w:tcW w:w="1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Activity:</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80"/>
        </w:trPr>
        <w:tc>
          <w:tcPr>
            <w:tcW w:w="8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0"/>
        </w:trPr>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8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Change due to performance and/or market condition achievement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0"/>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Performance-based restricted stock units as of December 31, 2022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2022, there was $26 of total unrecognized compensation expense related to unvested performance-based restricted stock unit awards, which will be recognized ratably over the remaining performance period.</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uses a Monte-Carlo simulation model to estimate the fair value of performance-based restricted stock units at the date of grant.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Time-Vested Restricted Stock Units</w:t>
      </w:r>
    </w:p>
    <w:p>
      <w:pPr>
        <w:spacing w:after="0" w:line="20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Company also grants time-vested restricted stock unit awards. As described above, under the Company’s previous long-term incentive program, time-vested restricted stock unit awards were granted to officers and other key employees following a three-year performance period. Awards vest at the end of the restriction period, which is three years from the date of grant. As of December 31, 2022, approximately 10,313,550 shares of common stock were available for future restricted stock unit awards.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 summary of restricted stock unit activity during 2022 is presented below:</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60"/>
        </w:trPr>
        <w:tc>
          <w:tcPr>
            <w:tcW w:w="7280" w:type="dxa"/>
            <w:vAlign w:val="bottom"/>
          </w:tcPr>
          <w:p>
            <w:pPr>
              <w:spacing w:after="0"/>
              <w:rPr>
                <w:sz w:val="13"/>
                <w:szCs w:val="13"/>
                <w:color w:val="auto"/>
              </w:rPr>
            </w:pPr>
          </w:p>
        </w:tc>
        <w:tc>
          <w:tcPr>
            <w:tcW w:w="1240" w:type="dxa"/>
            <w:vAlign w:val="bottom"/>
          </w:tcPr>
          <w:p>
            <w:pPr>
              <w:jc w:val="center"/>
              <w:ind w:left="329"/>
              <w:spacing w:after="0" w:line="159" w:lineRule="exact"/>
              <w:rPr>
                <w:sz w:val="20"/>
                <w:szCs w:val="20"/>
                <w:color w:val="auto"/>
              </w:rPr>
            </w:pPr>
            <w:r>
              <w:rPr>
                <w:rFonts w:ascii="Times New Roman" w:cs="Times New Roman" w:eastAsia="Times New Roman" w:hAnsi="Times New Roman"/>
                <w:sz w:val="14"/>
                <w:szCs w:val="14"/>
                <w:color w:val="auto"/>
                <w:w w:val="96"/>
              </w:rPr>
              <w:t>Shares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jc w:val="right"/>
              <w:ind w:right="69"/>
              <w:spacing w:after="0" w:line="159" w:lineRule="exact"/>
              <w:rPr>
                <w:sz w:val="20"/>
                <w:szCs w:val="20"/>
                <w:color w:val="auto"/>
              </w:rPr>
            </w:pPr>
            <w:r>
              <w:rPr>
                <w:rFonts w:ascii="Times New Roman" w:cs="Times New Roman" w:eastAsia="Times New Roman" w:hAnsi="Times New Roman"/>
                <w:sz w:val="14"/>
                <w:szCs w:val="14"/>
                <w:color w:val="auto"/>
                <w:w w:val="99"/>
              </w:rPr>
              <w:t>Weighted Average Grant Date Fair</w:t>
            </w:r>
          </w:p>
        </w:tc>
      </w:tr>
      <w:tr>
        <w:trPr>
          <w:trHeight w:val="187"/>
        </w:trPr>
        <w:tc>
          <w:tcPr>
            <w:tcW w:w="72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Value Per Award</w:t>
            </w:r>
          </w:p>
        </w:tc>
      </w:tr>
      <w:tr>
        <w:trPr>
          <w:trHeight w:val="17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as of January 1, 2022</w:t>
            </w: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80"/>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2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71"/>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units as of December 31, 2022</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0"/>
        </w:trPr>
        <w:tc>
          <w:tcPr>
            <w:tcW w:w="7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325"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2022, there was $53 of total unrecognized compensation expense related to unvested time-vested restricted stock unit awards, which will be recognized over a weighted-average period of 2 years. The total fair value of time-vested restricted stock units vested during the years ended December 31, 2022, 2021 and 2020 was $40, $47 and $58,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202"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The Company issues non-qualified stock options to non-employee directors, officers and other employees. Beginning in 2019, stock options have a contractual term of eight years. Prior to 2019, stock options generally had a contractual term of six years. Stock options generally vest ratably over three years. As of December 31, 2022, approximately 22,003,581 shares of common stock were available for future stock option grants.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 summary of stock option activity during 2022 is presented below:</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500" w:type="dxa"/>
            <w:vAlign w:val="bottom"/>
          </w:tcPr>
          <w:p>
            <w:pPr>
              <w:spacing w:after="0"/>
              <w:rPr>
                <w:sz w:val="13"/>
                <w:szCs w:val="13"/>
                <w:color w:val="auto"/>
              </w:rPr>
            </w:pPr>
          </w:p>
        </w:tc>
        <w:tc>
          <w:tcPr>
            <w:tcW w:w="150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18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w w:val="98"/>
              </w:rPr>
              <w:t>Weighted Average</w:t>
            </w:r>
          </w:p>
        </w:tc>
        <w:tc>
          <w:tcPr>
            <w:tcW w:w="140" w:type="dxa"/>
            <w:vAlign w:val="bottom"/>
          </w:tcPr>
          <w:p>
            <w:pPr>
              <w:spacing w:after="0"/>
              <w:rPr>
                <w:sz w:val="13"/>
                <w:szCs w:val="13"/>
                <w:color w:val="auto"/>
              </w:rPr>
            </w:pPr>
          </w:p>
        </w:tc>
        <w:tc>
          <w:tcPr>
            <w:tcW w:w="150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4"/>
                <w:szCs w:val="14"/>
                <w:color w:val="auto"/>
                <w:w w:val="99"/>
              </w:rPr>
              <w:t>Intrinsic Value of</w:t>
            </w:r>
          </w:p>
        </w:tc>
        <w:tc>
          <w:tcPr>
            <w:tcW w:w="0" w:type="dxa"/>
            <w:vAlign w:val="bottom"/>
          </w:tcPr>
          <w:p>
            <w:pPr>
              <w:spacing w:after="0"/>
              <w:rPr>
                <w:sz w:val="1"/>
                <w:szCs w:val="1"/>
                <w:color w:val="auto"/>
              </w:rPr>
            </w:pPr>
          </w:p>
        </w:tc>
      </w:tr>
      <w:tr>
        <w:trPr>
          <w:trHeight w:val="138"/>
        </w:trPr>
        <w:tc>
          <w:tcPr>
            <w:tcW w:w="45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8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Remaining Contractual Life</w:t>
            </w:r>
          </w:p>
        </w:tc>
        <w:tc>
          <w:tcPr>
            <w:tcW w:w="140" w:type="dxa"/>
            <w:vAlign w:val="bottom"/>
          </w:tcPr>
          <w:p>
            <w:pPr>
              <w:spacing w:after="0"/>
              <w:rPr>
                <w:sz w:val="11"/>
                <w:szCs w:val="11"/>
                <w:color w:val="auto"/>
              </w:rPr>
            </w:pPr>
          </w:p>
        </w:tc>
        <w:tc>
          <w:tcPr>
            <w:tcW w:w="1500" w:type="dxa"/>
            <w:vAlign w:val="bottom"/>
          </w:tcPr>
          <w:p>
            <w:pPr>
              <w:jc w:val="center"/>
              <w:ind w:right="89"/>
              <w:spacing w:after="0" w:line="138" w:lineRule="exact"/>
              <w:rPr>
                <w:sz w:val="20"/>
                <w:szCs w:val="20"/>
                <w:color w:val="auto"/>
              </w:rPr>
            </w:pPr>
            <w:r>
              <w:rPr>
                <w:rFonts w:ascii="Times New Roman" w:cs="Times New Roman" w:eastAsia="Times New Roman" w:hAnsi="Times New Roman"/>
                <w:sz w:val="14"/>
                <w:szCs w:val="14"/>
                <w:color w:val="auto"/>
                <w:w w:val="99"/>
              </w:rPr>
              <w:t>Unexercised</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5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Exercise Price</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years)</w:t>
            </w:r>
          </w:p>
        </w:tc>
        <w:tc>
          <w:tcPr>
            <w:tcW w:w="140" w:type="dxa"/>
            <w:vAlign w:val="bottom"/>
          </w:tcPr>
          <w:p>
            <w:pPr>
              <w:spacing w:after="0"/>
              <w:rPr>
                <w:sz w:val="16"/>
                <w:szCs w:val="16"/>
                <w:color w:val="auto"/>
              </w:rPr>
            </w:pPr>
          </w:p>
        </w:tc>
        <w:tc>
          <w:tcPr>
            <w:tcW w:w="15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In-the-Money Options</w:t>
            </w:r>
          </w:p>
        </w:tc>
        <w:tc>
          <w:tcPr>
            <w:tcW w:w="0" w:type="dxa"/>
            <w:vAlign w:val="bottom"/>
          </w:tcPr>
          <w:p>
            <w:pPr>
              <w:spacing w:after="0"/>
              <w:rPr>
                <w:sz w:val="1"/>
                <w:szCs w:val="1"/>
                <w:color w:val="auto"/>
              </w:rPr>
            </w:pP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January 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26,095</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outstanding, December 31,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4500" w:type="dxa"/>
            <w:vAlign w:val="bottom"/>
            <w:tcBorders>
              <w:bottom w:val="single" w:sz="8" w:color="BFE4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BFE4FF"/>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18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BFE4FF"/>
            </w:tcBorders>
          </w:tcPr>
          <w:p>
            <w:pPr>
              <w:spacing w:after="0" w:line="20" w:lineRule="exact"/>
              <w:rPr>
                <w:sz w:val="1"/>
                <w:szCs w:val="1"/>
                <w:color w:val="auto"/>
              </w:rPr>
            </w:pPr>
          </w:p>
        </w:tc>
        <w:tc>
          <w:tcPr>
            <w:tcW w:w="166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1500" w:type="dxa"/>
            <w:vAlign w:val="bottom"/>
            <w:tcBorders>
              <w:bottom w:val="single" w:sz="8" w:color="BFE4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Options exercisable, December 31, 2022</w:t>
            </w:r>
          </w:p>
        </w:tc>
        <w:tc>
          <w:tcPr>
            <w:tcW w:w="15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15,868</w:t>
            </w:r>
          </w:p>
        </w:tc>
        <w:tc>
          <w:tcPr>
            <w:tcW w:w="32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bottom w:val="single" w:sz="8" w:color="BFE4FF"/>
            </w:tcBorders>
            <w:shd w:val="clear" w:color="auto" w:fill="BFE4FF"/>
          </w:tcPr>
          <w:p>
            <w:pPr>
              <w:spacing w:after="0"/>
              <w:rPr>
                <w:sz w:val="15"/>
                <w:szCs w:val="15"/>
                <w:color w:val="auto"/>
              </w:rPr>
            </w:pPr>
          </w:p>
        </w:tc>
        <w:tc>
          <w:tcPr>
            <w:tcW w:w="16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BFE4FF"/>
            </w:tcBorders>
            <w:shd w:val="clear" w:color="auto" w:fill="BFE4FF"/>
          </w:tcPr>
          <w:p>
            <w:pPr>
              <w:spacing w:after="0"/>
              <w:rPr>
                <w:sz w:val="15"/>
                <w:szCs w:val="15"/>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
        </w:trPr>
        <w:tc>
          <w:tcPr>
            <w:tcW w:w="4500" w:type="dxa"/>
            <w:vAlign w:val="bottom"/>
            <w:tcBorders>
              <w:top w:val="single" w:sz="8" w:color="BFE4FF"/>
            </w:tcBorders>
          </w:tcPr>
          <w:p>
            <w:pPr>
              <w:spacing w:after="0" w:line="20" w:lineRule="exact"/>
              <w:rPr>
                <w:sz w:val="1"/>
                <w:szCs w:val="1"/>
                <w:color w:val="auto"/>
              </w:rPr>
            </w:pPr>
          </w:p>
        </w:tc>
        <w:tc>
          <w:tcPr>
            <w:tcW w:w="1500" w:type="dxa"/>
            <w:vAlign w:val="bottom"/>
            <w:tcBorders>
              <w:top w:val="single" w:sz="8" w:color="BFE4FF"/>
              <w:bottom w:val="single" w:sz="8" w:color="auto"/>
            </w:tcBorders>
          </w:tcPr>
          <w:p>
            <w:pPr>
              <w:spacing w:after="0" w:line="20" w:lineRule="exact"/>
              <w:rPr>
                <w:sz w:val="1"/>
                <w:szCs w:val="1"/>
                <w:color w:val="auto"/>
              </w:rPr>
            </w:pPr>
          </w:p>
        </w:tc>
        <w:tc>
          <w:tcPr>
            <w:tcW w:w="2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18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tcBorders>
          </w:tcPr>
          <w:p>
            <w:pPr>
              <w:spacing w:after="0" w:line="20" w:lineRule="exact"/>
              <w:rPr>
                <w:sz w:val="1"/>
                <w:szCs w:val="1"/>
                <w:color w:val="auto"/>
              </w:rPr>
            </w:pPr>
          </w:p>
        </w:tc>
        <w:tc>
          <w:tcPr>
            <w:tcW w:w="166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1500" w:type="dxa"/>
            <w:vAlign w:val="bottom"/>
            <w:tcBorders>
              <w:top w:val="single" w:sz="8" w:color="BFE4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2022, there was $36 of total unrecognized compensation expense related to unvested stock options, which will be recognized over a weighted-average period of 1.5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intrinsic value of options exercised during the years ended December 31, 2022, 2021 and 2020 was $47, $83 and $136, respectively.</w:t>
      </w:r>
    </w:p>
    <w:p>
      <w:pPr>
        <w:spacing w:after="0" w:line="185"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benefits of tax deductions in excess of grant date fair value resulting from the exercise of stock options and vesting of restricted stock unit awards for the years ended December 31, 2022, 2021 and 2020 were $2, $9 and $8, respectively, and are recognized in the provision for income taxes as a discrete item in the quarterly period in which they occur and classified as an operating cash flow. Cash proceeds received from options exercised for the years ended December 31, 2022, 2021 and 2020 were $418, $424 and $874,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Employee Stock Ownership Plan</w:t>
      </w:r>
    </w:p>
    <w:p>
      <w:pPr>
        <w:spacing w:after="0" w:line="198" w:lineRule="exact"/>
        <w:rPr>
          <w:sz w:val="20"/>
          <w:szCs w:val="20"/>
          <w:color w:val="auto"/>
        </w:rPr>
      </w:pPr>
    </w:p>
    <w:p>
      <w:pPr>
        <w:ind w:right="40" w:firstLine="255"/>
        <w:spacing w:after="0" w:line="307" w:lineRule="auto"/>
        <w:rPr>
          <w:sz w:val="20"/>
          <w:szCs w:val="20"/>
          <w:color w:val="auto"/>
        </w:rPr>
      </w:pPr>
      <w:r>
        <w:rPr>
          <w:rFonts w:ascii="Times New Roman" w:cs="Times New Roman" w:eastAsia="Times New Roman" w:hAnsi="Times New Roman"/>
          <w:sz w:val="14"/>
          <w:szCs w:val="14"/>
          <w:color w:val="auto"/>
        </w:rPr>
        <w:t>In 1989, the Company expanded its Employee Stock Ownership Plan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ESOP</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through the introduction of a leveraged ESOP that funds certain benefits for employees who have met eligibility requirements. As of December 31, 2022 and 2021, there were 9,417,692 and 10,290,667 shares of common stock, respectively, outstanding and issued to the Company</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s ESOP.</w:t>
      </w:r>
    </w:p>
    <w:p>
      <w:pPr>
        <w:spacing w:after="0" w:line="125"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During 2000, the ESOP entered into a loan agreement with the Company under which the benefits of the ESOP may be extended through 2035. As of December 31, 2022, the ESOP had outstanding borrowings from the Company of $1, which represents unearned compensation shown as a reduction in Shareholders’ equity.</w:t>
      </w:r>
    </w:p>
    <w:p>
      <w:pPr>
        <w:spacing w:after="0" w:line="145"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Dividends on stock held by the ESOP are paid to the ESOP trust and, together with cash contributions from the Company, are (a) used by the ESOP to repay principal and interest, (b) credited to participant accounts, (c) used for contributions to the Company’s defined contribution plans or (d) used to pay the Company’s defined contribution plan expenses. Stock is allocated to participants based upon the ratio of the current year’s debt service to the sum of total outstanding principal and interest payments over the life of the debt. As of December 31, 2022, 8,857,750 shares of common stock had been released and allocated to participant accounts and 559,942 shares of common stock were available for future release and allocation to participant accounts.</w:t>
      </w:r>
    </w:p>
    <w:p>
      <w:pPr>
        <w:spacing w:after="0" w:line="16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Dividends on the stock used to repay principal and interest or credited to participant accounts are deductible for income tax purposes and, accordingly, are reflected net of their tax benefit in the Consolidated Statements of Changes in Shareholders’ Equity.</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Annual expense related to the ESOP was $0 in 2022, 2021 and 2020.</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paid dividends on the shares held by the ESOP of $19 in 2022, $20 in 2021 and $23 in 2020. The Company did not make any contributions to the ESOP in 2022, 2021 or 2020.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ind w:right="8260" w:firstLine="5"/>
        <w:spacing w:after="0" w:line="539" w:lineRule="auto"/>
        <w:tabs>
          <w:tab w:leader="none" w:pos="318"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Retirement Plans and Other Retiree Benefits Retirement Plans</w:t>
      </w: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The Company and certain of its U.S. and foreign subsidiaries maintain defined benefit retirement plans. Benefits under these plans are based primarily on years of service and employees’ earnings.</w:t>
      </w:r>
    </w:p>
    <w:p>
      <w:pPr>
        <w:spacing w:after="0" w:line="145"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In the U.S., effective January 1, 2014, the Company provides virtually all future retirement benefits through the Company’s defined contribution plan. As a result, service after December 31, 2013 is not considered for participants in the Company’s principal U.S. defined benefit retirement plan. Participants in the Company’s principal U.S. defined benefit retirement plan whose retirement benefit was determined under the cash balance formula continue to earn interest credits on their vested balances as of December 31, 2013 but no longer receive pay credits. Participants whose retirement benefit was determined under the final average earnings formula or career average earnings formula continue to have their accrued benefit adjusted for pay increases until termination of employment.</w:t>
      </w:r>
    </w:p>
    <w:p>
      <w:pPr>
        <w:spacing w:after="0" w:line="154"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During the third quarter of 2022, the Company amended its domestic postretirement plan to limit eligibility for certain existing employees and change the way coverage and subsidies are delivered for certain current and future retirees. As required, the Company remeasured the obligation for the domestic postretirement plan, which resulted in the reduction of the projected benefit obligation and a corresponding actuarial gain of $398. The reduction of the projected benefit obligation and actuarial gain were primarily due to an increase in the discount rate since December 31, 2021 and the impact of the plan amendment. The actuarial gain was recorded in Accumulated other comprehensive income and will be amortized over future periods.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p>
      <w:pPr>
        <w:ind w:right="200" w:firstLine="255"/>
        <w:spacing w:after="0" w:line="276" w:lineRule="auto"/>
        <w:rPr>
          <w:sz w:val="20"/>
          <w:szCs w:val="20"/>
          <w:color w:val="auto"/>
        </w:rPr>
      </w:pPr>
      <w:r>
        <w:rPr>
          <w:rFonts w:ascii="Times New Roman" w:cs="Times New Roman" w:eastAsia="Times New Roman" w:hAnsi="Times New Roman"/>
          <w:sz w:val="14"/>
          <w:szCs w:val="14"/>
          <w:color w:val="auto"/>
        </w:rPr>
        <w:t>In the Company’s principal U.S. plans and certain funded foreign plans, funds are contributed to trusts in accordance with regulatory limits to provide for current service and for any unfunded projected benefit obligation over a reasonable period. The target asset allocation for the Company’s defined benefit plans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International</w:t>
            </w:r>
          </w:p>
        </w:tc>
        <w:tc>
          <w:tcPr>
            <w:tcW w:w="0" w:type="dxa"/>
            <w:vAlign w:val="bottom"/>
          </w:tcPr>
          <w:p>
            <w:pPr>
              <w:spacing w:after="0"/>
              <w:rPr>
                <w:sz w:val="1"/>
                <w:szCs w:val="1"/>
                <w:color w:val="auto"/>
              </w:rPr>
            </w:pPr>
          </w:p>
        </w:tc>
      </w:tr>
      <w:tr>
        <w:trPr>
          <w:trHeight w:val="160"/>
        </w:trPr>
        <w:tc>
          <w:tcPr>
            <w:tcW w:w="69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other investments</w:t>
            </w:r>
          </w:p>
        </w:tc>
        <w:tc>
          <w:tcPr>
            <w:tcW w:w="1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71"/>
        </w:trPr>
        <w:tc>
          <w:tcPr>
            <w:tcW w:w="6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780" w:type="dxa"/>
            <w:vAlign w:val="bottom"/>
            <w:gridSpan w:val="7"/>
          </w:tcPr>
          <w:p>
            <w:pPr>
              <w:ind w:left="260"/>
              <w:spacing w:after="0"/>
              <w:rPr>
                <w:sz w:val="20"/>
                <w:szCs w:val="20"/>
                <w:color w:val="auto"/>
              </w:rPr>
            </w:pPr>
            <w:r>
              <w:rPr>
                <w:rFonts w:ascii="Times New Roman" w:cs="Times New Roman" w:eastAsia="Times New Roman" w:hAnsi="Times New Roman"/>
                <w:sz w:val="14"/>
                <w:szCs w:val="14"/>
                <w:color w:val="auto"/>
              </w:rPr>
              <w:t>At December 31, 2022, the allocation of the Company’s plan assets and the level of valuation input, as applicable, for each major asset category were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color w:val="auto"/>
              </w:rPr>
              <w:t>Pension Plans</w:t>
            </w:r>
          </w:p>
        </w:tc>
        <w:tc>
          <w:tcPr>
            <w:tcW w:w="0" w:type="dxa"/>
            <w:vAlign w:val="bottom"/>
          </w:tcPr>
          <w:p>
            <w:pPr>
              <w:spacing w:after="0"/>
              <w:rPr>
                <w:sz w:val="1"/>
                <w:szCs w:val="1"/>
                <w:color w:val="auto"/>
              </w:rPr>
            </w:pPr>
          </w:p>
        </w:tc>
      </w:tr>
      <w:tr>
        <w:trPr>
          <w:trHeight w:val="129"/>
        </w:trPr>
        <w:tc>
          <w:tcPr>
            <w:tcW w:w="6960" w:type="dxa"/>
            <w:vAlign w:val="bottom"/>
          </w:tcPr>
          <w:p>
            <w:pPr>
              <w:spacing w:after="0"/>
              <w:rPr>
                <w:sz w:val="11"/>
                <w:szCs w:val="11"/>
                <w:color w:val="auto"/>
              </w:rPr>
            </w:pPr>
          </w:p>
        </w:tc>
        <w:tc>
          <w:tcPr>
            <w:tcW w:w="146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Level of Valuation</w:t>
            </w: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96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Input</w:t>
            </w:r>
          </w:p>
        </w:tc>
        <w:tc>
          <w:tcPr>
            <w:tcW w:w="20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International</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6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common stocks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2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International common stocks</w:t>
            </w:r>
          </w:p>
        </w:tc>
        <w:tc>
          <w:tcPr>
            <w:tcW w:w="146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Pooled funds</w:t>
            </w:r>
            <w:r>
              <w:rPr>
                <w:rFonts w:ascii="Times New Roman" w:cs="Times New Roman" w:eastAsia="Times New Roman" w:hAnsi="Times New Roman"/>
                <w:sz w:val="18"/>
                <w:szCs w:val="18"/>
                <w:color w:val="auto"/>
                <w:vertAlign w:val="superscript"/>
              </w:rPr>
              <w:t>(1)</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2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Fixed income securities</w:t>
            </w:r>
            <w:r>
              <w:rPr>
                <w:rFonts w:ascii="Times New Roman" w:cs="Times New Roman" w:eastAsia="Times New Roman" w:hAnsi="Times New Roman"/>
                <w:sz w:val="18"/>
                <w:szCs w:val="18"/>
                <w:color w:val="auto"/>
                <w:vertAlign w:val="superscript"/>
              </w:rPr>
              <w:t>(2)</w:t>
            </w:r>
          </w:p>
        </w:tc>
        <w:tc>
          <w:tcPr>
            <w:tcW w:w="146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Borders>
              <w:bottom w:val="single" w:sz="8" w:color="CCEEFF"/>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Guaranteed investment contracts</w:t>
            </w:r>
            <w:r>
              <w:rPr>
                <w:rFonts w:ascii="Times New Roman" w:cs="Times New Roman" w:eastAsia="Times New Roman" w:hAnsi="Times New Roman"/>
                <w:sz w:val="18"/>
                <w:szCs w:val="18"/>
                <w:color w:val="auto"/>
                <w:vertAlign w:val="superscript"/>
              </w:rPr>
              <w:t>(3)</w:t>
            </w:r>
          </w:p>
        </w:tc>
        <w:tc>
          <w:tcPr>
            <w:tcW w:w="1460" w:type="dxa"/>
            <w:vAlign w:val="bottom"/>
            <w:tcBorders>
              <w:bottom w:val="single" w:sz="8" w:color="CCEEFF"/>
            </w:tcBorders>
            <w:gridSpan w:val="3"/>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9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Investments valued using NAV per share</w:t>
            </w:r>
            <w:r>
              <w:rPr>
                <w:rFonts w:ascii="Times New Roman" w:cs="Times New Roman" w:eastAsia="Times New Roman" w:hAnsi="Times New Roman"/>
                <w:sz w:val="18"/>
                <w:szCs w:val="18"/>
                <w:color w:val="auto"/>
                <w:vertAlign w:val="superscript"/>
              </w:rPr>
              <w:t>(4)</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Domestic, developed and emerging markets equity funds</w:t>
            </w: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Fixed income funds</w:t>
            </w:r>
            <w:r>
              <w:rPr>
                <w:rFonts w:ascii="Times New Roman" w:cs="Times New Roman" w:eastAsia="Times New Roman" w:hAnsi="Times New Roman"/>
                <w:sz w:val="18"/>
                <w:szCs w:val="18"/>
                <w:color w:val="auto"/>
                <w:vertAlign w:val="superscript"/>
              </w:rPr>
              <w:t>(5)</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Hedge funds</w:t>
            </w:r>
            <w:r>
              <w:rPr>
                <w:rFonts w:ascii="Times New Roman" w:cs="Times New Roman" w:eastAsia="Times New Roman" w:hAnsi="Times New Roman"/>
                <w:sz w:val="18"/>
                <w:szCs w:val="18"/>
                <w:color w:val="auto"/>
                <w:vertAlign w:val="superscript"/>
              </w:rPr>
              <w:t>(6)</w:t>
            </w: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Multi-asset funds</w:t>
            </w:r>
            <w:r>
              <w:rPr>
                <w:rFonts w:ascii="Times New Roman" w:cs="Times New Roman" w:eastAsia="Times New Roman" w:hAnsi="Times New Roman"/>
                <w:sz w:val="18"/>
                <w:szCs w:val="18"/>
                <w:color w:val="auto"/>
                <w:vertAlign w:val="superscript"/>
              </w:rPr>
              <w:t>(7)</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Real estate funds</w:t>
            </w:r>
            <w:r>
              <w:rPr>
                <w:rFonts w:ascii="Times New Roman" w:cs="Times New Roman" w:eastAsia="Times New Roman" w:hAnsi="Times New Roman"/>
                <w:sz w:val="18"/>
                <w:szCs w:val="18"/>
                <w:color w:val="auto"/>
                <w:vertAlign w:val="superscript"/>
              </w:rPr>
              <w:t>(8)</w:t>
            </w: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9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assets and liabilities, net</w:t>
            </w:r>
            <w:r>
              <w:rPr>
                <w:rFonts w:ascii="Times New Roman" w:cs="Times New Roman" w:eastAsia="Times New Roman" w:hAnsi="Times New Roman"/>
                <w:sz w:val="18"/>
                <w:szCs w:val="18"/>
                <w:color w:val="auto"/>
                <w:vertAlign w:val="superscript"/>
              </w:rPr>
              <w:t>(9)</w:t>
            </w:r>
          </w:p>
        </w:tc>
        <w:tc>
          <w:tcPr>
            <w:tcW w:w="1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2" w:name="page103"/>
    <w:bookmarkEnd w:id="102"/>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0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auto"/>
              </w:rPr>
              <w:t>At December 31, 2021, the allocation of the Company’s plan assets and the level of valuation input, as applicable, for each major asset category were as follows: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3"/>
        </w:trPr>
        <w:tc>
          <w:tcPr>
            <w:tcW w:w="6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949"/>
              <w:spacing w:after="0"/>
              <w:rPr>
                <w:sz w:val="20"/>
                <w:szCs w:val="20"/>
                <w:color w:val="auto"/>
              </w:rPr>
            </w:pPr>
            <w:r>
              <w:rPr>
                <w:rFonts w:ascii="Times New Roman" w:cs="Times New Roman" w:eastAsia="Times New Roman" w:hAnsi="Times New Roman"/>
                <w:sz w:val="14"/>
                <w:szCs w:val="14"/>
                <w:color w:val="auto"/>
              </w:rPr>
              <w:t>Pension Plans</w:t>
            </w:r>
          </w:p>
        </w:tc>
      </w:tr>
      <w:tr>
        <w:trPr>
          <w:trHeight w:val="129"/>
        </w:trPr>
        <w:tc>
          <w:tcPr>
            <w:tcW w:w="6960" w:type="dxa"/>
            <w:vAlign w:val="bottom"/>
          </w:tcPr>
          <w:p>
            <w:pPr>
              <w:spacing w:after="0"/>
              <w:rPr>
                <w:sz w:val="11"/>
                <w:szCs w:val="11"/>
                <w:color w:val="auto"/>
              </w:rPr>
            </w:pPr>
          </w:p>
        </w:tc>
        <w:tc>
          <w:tcPr>
            <w:tcW w:w="14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Level of Valuation</w:t>
            </w: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1"/>
        </w:trPr>
        <w:tc>
          <w:tcPr>
            <w:tcW w:w="696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Input</w:t>
            </w:r>
          </w:p>
        </w:tc>
        <w:tc>
          <w:tcPr>
            <w:tcW w:w="2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United States</w:t>
            </w:r>
          </w:p>
        </w:tc>
        <w:tc>
          <w:tcPr>
            <w:tcW w:w="220" w:type="dxa"/>
            <w:vAlign w:val="bottom"/>
          </w:tcPr>
          <w:p>
            <w:pPr>
              <w:spacing w:after="0"/>
              <w:rPr>
                <w:sz w:val="16"/>
                <w:szCs w:val="16"/>
                <w:color w:val="auto"/>
              </w:rPr>
            </w:pPr>
          </w:p>
        </w:tc>
        <w:tc>
          <w:tcPr>
            <w:tcW w:w="11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International</w:t>
            </w:r>
          </w:p>
        </w:tc>
      </w:tr>
      <w:tr>
        <w:trPr>
          <w:trHeight w:val="171"/>
        </w:trPr>
        <w:tc>
          <w:tcPr>
            <w:tcW w:w="696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18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6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common stocks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2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International common stocks</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69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Pooled funds</w:t>
            </w:r>
            <w:r>
              <w:rPr>
                <w:rFonts w:ascii="Times New Roman" w:cs="Times New Roman" w:eastAsia="Times New Roman" w:hAnsi="Times New Roman"/>
                <w:sz w:val="18"/>
                <w:szCs w:val="18"/>
                <w:color w:val="auto"/>
                <w:vertAlign w:val="superscript"/>
              </w:rPr>
              <w:t>(1)</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69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Fixed income securities</w:t>
            </w:r>
            <w:r>
              <w:rPr>
                <w:rFonts w:ascii="Times New Roman" w:cs="Times New Roman" w:eastAsia="Times New Roman" w:hAnsi="Times New Roman"/>
                <w:sz w:val="18"/>
                <w:szCs w:val="18"/>
                <w:color w:val="auto"/>
                <w:vertAlign w:val="superscript"/>
              </w:rPr>
              <w:t>(2)</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6960" w:type="dxa"/>
            <w:vAlign w:val="bottom"/>
            <w:tcBorders>
              <w:bottom w:val="single" w:sz="8" w:color="CCEEFF"/>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Guaranteed investment contracts</w:t>
            </w:r>
            <w:r>
              <w:rPr>
                <w:rFonts w:ascii="Times New Roman" w:cs="Times New Roman" w:eastAsia="Times New Roman" w:hAnsi="Times New Roman"/>
                <w:sz w:val="18"/>
                <w:szCs w:val="18"/>
                <w:color w:val="auto"/>
                <w:vertAlign w:val="superscript"/>
              </w:rPr>
              <w:t>(3)</w:t>
            </w:r>
          </w:p>
        </w:tc>
        <w:tc>
          <w:tcPr>
            <w:tcW w:w="14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1"/>
        </w:trPr>
        <w:tc>
          <w:tcPr>
            <w:tcW w:w="69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80"/>
        </w:trPr>
        <w:tc>
          <w:tcPr>
            <w:tcW w:w="69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Investments valued using NAV per share</w:t>
            </w:r>
            <w:r>
              <w:rPr>
                <w:rFonts w:ascii="Times New Roman" w:cs="Times New Roman" w:eastAsia="Times New Roman" w:hAnsi="Times New Roman"/>
                <w:sz w:val="18"/>
                <w:szCs w:val="18"/>
                <w:color w:val="auto"/>
                <w:vertAlign w:val="superscript"/>
              </w:rPr>
              <w:t>(4)</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Domestic, developed and emerging markets equity funds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0"/>
        </w:trPr>
        <w:tc>
          <w:tcPr>
            <w:tcW w:w="69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Fixed income funds</w:t>
            </w:r>
            <w:r>
              <w:rPr>
                <w:rFonts w:ascii="Times New Roman" w:cs="Times New Roman" w:eastAsia="Times New Roman" w:hAnsi="Times New Roman"/>
                <w:sz w:val="18"/>
                <w:szCs w:val="18"/>
                <w:color w:val="auto"/>
                <w:vertAlign w:val="superscript"/>
              </w:rPr>
              <w:t>(5)</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80"/>
        </w:trPr>
        <w:tc>
          <w:tcPr>
            <w:tcW w:w="69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Hedge funds</w:t>
            </w:r>
            <w:r>
              <w:rPr>
                <w:rFonts w:ascii="Times New Roman" w:cs="Times New Roman" w:eastAsia="Times New Roman" w:hAnsi="Times New Roman"/>
                <w:sz w:val="18"/>
                <w:szCs w:val="18"/>
                <w:color w:val="auto"/>
                <w:vertAlign w:val="superscript"/>
              </w:rPr>
              <w:t>(6)</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69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Multi-asset funds</w:t>
            </w:r>
            <w:r>
              <w:rPr>
                <w:rFonts w:ascii="Times New Roman" w:cs="Times New Roman" w:eastAsia="Times New Roman" w:hAnsi="Times New Roman"/>
                <w:sz w:val="18"/>
                <w:szCs w:val="18"/>
                <w:color w:val="auto"/>
                <w:vertAlign w:val="superscript"/>
              </w:rPr>
              <w:t>(7)</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9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Real estate funds</w:t>
            </w:r>
            <w:r>
              <w:rPr>
                <w:rFonts w:ascii="Times New Roman" w:cs="Times New Roman" w:eastAsia="Times New Roman" w:hAnsi="Times New Roman"/>
                <w:sz w:val="18"/>
                <w:szCs w:val="18"/>
                <w:color w:val="auto"/>
                <w:vertAlign w:val="superscript"/>
              </w:rPr>
              <w:t>(8)</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1"/>
        </w:trPr>
        <w:tc>
          <w:tcPr>
            <w:tcW w:w="6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202"/>
        </w:trPr>
        <w:tc>
          <w:tcPr>
            <w:tcW w:w="69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0"/>
        </w:trPr>
        <w:tc>
          <w:tcPr>
            <w:tcW w:w="69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assets and liabilities, net</w:t>
            </w:r>
            <w:r>
              <w:rPr>
                <w:rFonts w:ascii="Times New Roman" w:cs="Times New Roman" w:eastAsia="Times New Roman" w:hAnsi="Times New Roman"/>
                <w:sz w:val="18"/>
                <w:szCs w:val="18"/>
                <w:color w:val="auto"/>
                <w:vertAlign w:val="superscript"/>
              </w:rPr>
              <w:t>(9)</w:t>
            </w:r>
          </w:p>
        </w:tc>
        <w:tc>
          <w:tcPr>
            <w:tcW w:w="1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w:t>
      </w:r>
    </w:p>
    <w:p>
      <w:pPr>
        <w:spacing w:after="0" w:line="25" w:lineRule="exact"/>
        <w:rPr>
          <w:sz w:val="20"/>
          <w:szCs w:val="20"/>
          <w:color w:val="auto"/>
        </w:rPr>
      </w:pPr>
    </w:p>
    <w:p>
      <w:pPr>
        <w:ind w:left="240" w:hanging="235"/>
        <w:spacing w:after="0"/>
        <w:tabs>
          <w:tab w:leader="none" w:pos="24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Pooled funds primarily invest in U.S. and foreign equity securities, debt and money market securities.</w:t>
      </w:r>
    </w:p>
    <w:p>
      <w:pPr>
        <w:spacing w:after="0" w:line="39" w:lineRule="exact"/>
        <w:rPr>
          <w:rFonts w:ascii="Times New Roman" w:cs="Times New Roman" w:eastAsia="Times New Roman" w:hAnsi="Times New Roman"/>
          <w:sz w:val="17"/>
          <w:szCs w:val="17"/>
          <w:color w:val="auto"/>
          <w:vertAlign w:val="superscript"/>
        </w:rPr>
      </w:pPr>
    </w:p>
    <w:p>
      <w:pPr>
        <w:ind w:left="260" w:right="660" w:hanging="255"/>
        <w:spacing w:after="0" w:line="223" w:lineRule="auto"/>
        <w:tabs>
          <w:tab w:leader="none" w:pos="250"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fixed income securities are traded over-the-counter and certain of these securities lack daily pricing or liquidity and as such are classified as Level 2. As of December 31, 2022 and December 31, 2021 approximately 40% of the U.S. pension plan fixed income portfolio was invested in U.S. treasury or agency securities, with the remainder invested in other government bonds and corporate bonds.</w:t>
      </w:r>
    </w:p>
    <w:p>
      <w:pPr>
        <w:spacing w:after="0" w:line="36" w:lineRule="exact"/>
        <w:rPr>
          <w:rFonts w:ascii="Times New Roman" w:cs="Times New Roman" w:eastAsia="Times New Roman" w:hAnsi="Times New Roman"/>
          <w:sz w:val="16"/>
          <w:szCs w:val="16"/>
          <w:color w:val="auto"/>
          <w:vertAlign w:val="superscript"/>
        </w:rPr>
      </w:pPr>
    </w:p>
    <w:p>
      <w:pPr>
        <w:ind w:left="260" w:right="40" w:hanging="255"/>
        <w:spacing w:after="0" w:line="218" w:lineRule="auto"/>
        <w:tabs>
          <w:tab w:leader="none" w:pos="25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guaranteed investment contracts (“GICs”) represent contracts with insurance companies measured at the cash surrender value of each contract. The Level 2 valuation reflects that the cash surrender value is based principally on a referenced pool of investment funds with active redemption.</w:t>
      </w:r>
    </w:p>
    <w:p>
      <w:pPr>
        <w:spacing w:after="0" w:line="36" w:lineRule="exact"/>
        <w:rPr>
          <w:rFonts w:ascii="Times New Roman" w:cs="Times New Roman" w:eastAsia="Times New Roman" w:hAnsi="Times New Roman"/>
          <w:sz w:val="17"/>
          <w:szCs w:val="17"/>
          <w:color w:val="auto"/>
          <w:vertAlign w:val="superscript"/>
        </w:rPr>
      </w:pPr>
    </w:p>
    <w:p>
      <w:pPr>
        <w:ind w:left="260" w:right="140" w:hanging="255"/>
        <w:spacing w:after="0" w:line="224" w:lineRule="auto"/>
        <w:tabs>
          <w:tab w:leader="none" w:pos="25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Investments that are measured at fair value using net asset value (“NAV”) per share as a practical expedient have not been classified in the fair value hierarchy. The NAV is based on the value of the underlying investments owned, minus its liabilities, divided by the number of shares outstanding. There are no unfunded commitments related to these investments. Redemption notice period primarily ranges from 0-3 months and redemption frequency windows range from daily to quarterly.</w:t>
      </w:r>
    </w:p>
    <w:p>
      <w:pPr>
        <w:spacing w:after="0" w:line="7" w:lineRule="exact"/>
        <w:rPr>
          <w:rFonts w:ascii="Times New Roman" w:cs="Times New Roman" w:eastAsia="Times New Roman" w:hAnsi="Times New Roman"/>
          <w:sz w:val="17"/>
          <w:szCs w:val="17"/>
          <w:color w:val="auto"/>
          <w:vertAlign w:val="superscript"/>
        </w:rPr>
      </w:pPr>
    </w:p>
    <w:p>
      <w:pPr>
        <w:ind w:left="240" w:hanging="235"/>
        <w:spacing w:after="0"/>
        <w:tabs>
          <w:tab w:leader="none" w:pos="24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Fixed income funds primarily invest in U.S. government and investment grade corporate bonds.</w:t>
      </w:r>
    </w:p>
    <w:p>
      <w:pPr>
        <w:spacing w:after="0" w:line="39" w:lineRule="exact"/>
        <w:rPr>
          <w:rFonts w:ascii="Times New Roman" w:cs="Times New Roman" w:eastAsia="Times New Roman" w:hAnsi="Times New Roman"/>
          <w:sz w:val="17"/>
          <w:szCs w:val="17"/>
          <w:color w:val="auto"/>
          <w:vertAlign w:val="superscript"/>
        </w:rPr>
      </w:pPr>
    </w:p>
    <w:p>
      <w:pPr>
        <w:ind w:left="240" w:hanging="235"/>
        <w:spacing w:after="0" w:line="197" w:lineRule="auto"/>
        <w:tabs>
          <w:tab w:leader="none" w:pos="240"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Consists of investments in underlying hedge fund strategies that are primarily implemented through the use of long and short equity and fixed income securities and derivative instruments such as futures and options.</w:t>
      </w:r>
    </w:p>
    <w:p>
      <w:pPr>
        <w:spacing w:after="0" w:line="50" w:lineRule="exact"/>
        <w:rPr>
          <w:rFonts w:ascii="Times New Roman" w:cs="Times New Roman" w:eastAsia="Times New Roman" w:hAnsi="Times New Roman"/>
          <w:sz w:val="16"/>
          <w:szCs w:val="16"/>
          <w:color w:val="auto"/>
          <w:vertAlign w:val="superscript"/>
        </w:rPr>
      </w:pPr>
    </w:p>
    <w:p>
      <w:pPr>
        <w:ind w:left="240" w:hanging="235"/>
        <w:spacing w:after="0" w:line="185" w:lineRule="auto"/>
        <w:tabs>
          <w:tab w:leader="none" w:pos="24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Multi-asset funds primarily invest across a variety of asset classes, including global stocks and bonds, as well as alternative strategies.</w:t>
      </w:r>
    </w:p>
    <w:p>
      <w:pPr>
        <w:spacing w:after="0" w:line="40" w:lineRule="exact"/>
        <w:rPr>
          <w:rFonts w:ascii="Times New Roman" w:cs="Times New Roman" w:eastAsia="Times New Roman" w:hAnsi="Times New Roman"/>
          <w:sz w:val="17"/>
          <w:szCs w:val="17"/>
          <w:color w:val="auto"/>
          <w:vertAlign w:val="superscript"/>
        </w:rPr>
      </w:pPr>
    </w:p>
    <w:p>
      <w:pPr>
        <w:ind w:left="260" w:right="600" w:hanging="255"/>
        <w:spacing w:after="0" w:line="208" w:lineRule="auto"/>
        <w:tabs>
          <w:tab w:leader="none" w:pos="25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Real estate is valued using the NAV per unit of funds that are invested in real estate property. The investment value of the real estate property is determined quarterly using independent market appraisals as determined by the investment manager.</w:t>
      </w:r>
    </w:p>
    <w:p>
      <w:pPr>
        <w:spacing w:after="0" w:line="7" w:lineRule="exact"/>
        <w:rPr>
          <w:rFonts w:ascii="Times New Roman" w:cs="Times New Roman" w:eastAsia="Times New Roman" w:hAnsi="Times New Roman"/>
          <w:sz w:val="17"/>
          <w:szCs w:val="17"/>
          <w:color w:val="auto"/>
          <w:vertAlign w:val="superscript"/>
        </w:rPr>
      </w:pPr>
    </w:p>
    <w:p>
      <w:pPr>
        <w:ind w:left="240" w:hanging="235"/>
        <w:spacing w:after="0"/>
        <w:tabs>
          <w:tab w:leader="none" w:pos="24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category primarily includes unsettled trades for investments purchased and sold and dividend receivables.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3" w:name="page104"/>
    <w:bookmarkEnd w:id="103"/>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9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Equity securities in the U.S. plans did not include any investment in the Company’s common stock at either December 31, 2022 or December 31, 2021. No shares of the Company’s stock were purchased by the U.S. plans in 2022 or 2021. The plans received no dividends on the Company’s common stock in either 2022 or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Retiree Benefits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and certain of its subsidiaries provide health care and life insurance benefits for retired employees to the extent not provided by government-sponsored plans.</w:t>
      </w:r>
    </w:p>
    <w:p>
      <w:pPr>
        <w:spacing w:after="0" w:line="20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Company uses a December 31 measurement date for its defined benefit and other retiree benefit plans. Summarized information for the Company’s defined benefit and other retiree benefit plans is as follows:</w:t>
      </w: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3" w:right="479" w:bottom="1440" w:gutter="0" w:footer="0" w:header="0"/>
        </w:sectPr>
      </w:pPr>
    </w:p>
    <w:bookmarkStart w:id="104" w:name="page105"/>
    <w:bookmarkEnd w:id="104"/>
    <w:p>
      <w:pPr>
        <w:ind w:left="420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color w:val="auto"/>
              </w:rPr>
              <w:t>Pension Plans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4"/>
                <w:szCs w:val="14"/>
                <w:color w:val="auto"/>
              </w:rPr>
              <w:t>Other Retiree Benefit Plans</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89"/>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89"/>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Benefit Obligations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obligations at beginning of year</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Participants’ contributions</w:t>
            </w:r>
          </w:p>
        </w:tc>
        <w:tc>
          <w:tcPr>
            <w:tcW w:w="1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amendments</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 (gain)</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impact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Termination benefits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Curtailments and settlements</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obligations at end of year</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7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contributions</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Participants’ contributions</w:t>
            </w:r>
          </w:p>
        </w:tc>
        <w:tc>
          <w:tcPr>
            <w:tcW w:w="1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impact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 and acquisitions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obligations at end of year</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Recognized in Balance Sheet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Recognized in Accumulated Other Comprehensive Income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loss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Transition/prior service cost(credit)</w:t>
            </w:r>
          </w:p>
        </w:tc>
        <w:tc>
          <w:tcPr>
            <w:tcW w:w="1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360" w:type="dxa"/>
            <w:vAlign w:val="bottom"/>
            <w:vMerge w:val="continue"/>
          </w:tcPr>
          <w:p>
            <w:pPr>
              <w:spacing w:after="0"/>
              <w:rPr>
                <w:sz w:val="12"/>
                <w:szCs w:val="12"/>
                <w:color w:val="auto"/>
              </w:rPr>
            </w:pPr>
          </w:p>
        </w:tc>
        <w:tc>
          <w:tcPr>
            <w:tcW w:w="18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2"/>
                <w:szCs w:val="12"/>
                <w:color w:val="auto"/>
              </w:rPr>
            </w:pPr>
          </w:p>
        </w:tc>
        <w:tc>
          <w:tcPr>
            <w:tcW w:w="1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2,171</w:t>
            </w:r>
          </w:p>
        </w:tc>
        <w:tc>
          <w:tcPr>
            <w:tcW w:w="100" w:type="dxa"/>
            <w:vAlign w:val="bottom"/>
          </w:tcPr>
          <w:p>
            <w:pPr>
              <w:spacing w:after="0"/>
              <w:rPr>
                <w:sz w:val="12"/>
                <w:szCs w:val="12"/>
                <w:color w:val="auto"/>
              </w:rPr>
            </w:pPr>
          </w:p>
        </w:tc>
        <w:tc>
          <w:tcPr>
            <w:tcW w:w="1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2"/>
                <w:szCs w:val="12"/>
                <w:color w:val="auto"/>
              </w:rPr>
            </w:pPr>
          </w:p>
        </w:tc>
        <w:tc>
          <w:tcPr>
            <w:tcW w:w="1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560" w:top="123" w:right="479" w:bottom="1440" w:gutter="0" w:footer="0" w:header="0"/>
        </w:sectPr>
      </w:pPr>
    </w:p>
    <w:bookmarkStart w:id="105" w:name="page106"/>
    <w:bookmarkEnd w:id="105"/>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629"/>
              <w:spacing w:after="0"/>
              <w:rPr>
                <w:sz w:val="20"/>
                <w:szCs w:val="20"/>
                <w:color w:val="auto"/>
              </w:rPr>
            </w:pPr>
            <w:r>
              <w:rPr>
                <w:rFonts w:ascii="Times New Roman" w:cs="Times New Roman" w:eastAsia="Times New Roman" w:hAnsi="Times New Roman"/>
                <w:sz w:val="14"/>
                <w:szCs w:val="14"/>
                <w:color w:val="auto"/>
              </w:rPr>
              <w:t>Pension Plans</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color w:val="auto"/>
              </w:rPr>
              <w:t>Other Retiree Benefit Plans</w:t>
            </w:r>
          </w:p>
        </w:tc>
      </w:tr>
      <w:tr>
        <w:trPr>
          <w:trHeight w:val="171"/>
        </w:trPr>
        <w:tc>
          <w:tcPr>
            <w:tcW w:w="5440" w:type="dxa"/>
            <w:vAlign w:val="bottom"/>
          </w:tcPr>
          <w:p>
            <w:pPr>
              <w:spacing w:after="0"/>
              <w:rPr>
                <w:sz w:val="14"/>
                <w:szCs w:val="14"/>
                <w:color w:val="auto"/>
              </w:rPr>
            </w:pPr>
          </w:p>
        </w:tc>
        <w:tc>
          <w:tcPr>
            <w:tcW w:w="10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440" w:type="dxa"/>
            <w:vAlign w:val="bottom"/>
          </w:tcPr>
          <w:p>
            <w:pPr>
              <w:spacing w:after="0"/>
              <w:rPr>
                <w:sz w:val="14"/>
                <w:szCs w:val="14"/>
                <w:color w:val="auto"/>
              </w:rPr>
            </w:pPr>
          </w:p>
        </w:tc>
        <w:tc>
          <w:tcPr>
            <w:tcW w:w="1820" w:type="dxa"/>
            <w:vAlign w:val="bottom"/>
            <w:tcBorders>
              <w:bottom w:val="single" w:sz="8" w:color="auto"/>
            </w:tcBorders>
            <w:gridSpan w:val="2"/>
          </w:tcPr>
          <w:p>
            <w:pPr>
              <w:jc w:val="right"/>
              <w:ind w:right="469"/>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tcPr>
          <w:p>
            <w:pPr>
              <w:spacing w:after="0"/>
              <w:rPr>
                <w:sz w:val="14"/>
                <w:szCs w:val="14"/>
                <w:color w:val="auto"/>
              </w:rPr>
            </w:pPr>
          </w:p>
        </w:tc>
        <w:tc>
          <w:tcPr>
            <w:tcW w:w="1820" w:type="dxa"/>
            <w:vAlign w:val="bottom"/>
            <w:tcBorders>
              <w:bottom w:val="single" w:sz="8" w:color="auto"/>
            </w:tcBorders>
            <w:gridSpan w:val="2"/>
          </w:tcPr>
          <w:p>
            <w:pPr>
              <w:jc w:val="right"/>
              <w:ind w:right="469"/>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Assumptions Used to Determine Benefit Obligations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5.66 %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4.75 %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r>
      <w:tr>
        <w:trPr>
          <w:trHeight w:val="18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long-term rate of return on plan assets</w:t>
            </w: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6.25 %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100" w:type="dxa"/>
            <w:vAlign w:val="bottom"/>
          </w:tcPr>
          <w:p>
            <w:pPr>
              <w:spacing w:after="0"/>
              <w:rPr>
                <w:sz w:val="15"/>
                <w:szCs w:val="15"/>
                <w:color w:val="auto"/>
              </w:rPr>
            </w:pP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4.66 %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100" w:type="dxa"/>
            <w:vAlign w:val="bottom"/>
          </w:tcPr>
          <w:p>
            <w:pPr>
              <w:spacing w:after="0"/>
              <w:rPr>
                <w:sz w:val="15"/>
                <w:szCs w:val="15"/>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rate of compensation increase</w:t>
            </w: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3.50 %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3.22 %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r>
      <w:tr>
        <w:trPr>
          <w:trHeight w:val="18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ESOP growth rate</w:t>
            </w: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r>
      <w:tr>
        <w:trPr>
          <w:trHeight w:val="18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Medical cost trend rate of increase</w:t>
            </w: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r>
      <w:tr>
        <w:trPr>
          <w:trHeight w:val="184"/>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Crediting Rate</w:t>
            </w: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5.21 %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100" w:type="dxa"/>
            <w:vAlign w:val="bottom"/>
          </w:tcPr>
          <w:p>
            <w:pPr>
              <w:spacing w:after="0"/>
              <w:rPr>
                <w:sz w:val="16"/>
                <w:szCs w:val="16"/>
                <w:color w:val="auto"/>
              </w:rPr>
            </w:pP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2.28 %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0.84 %</w:t>
            </w:r>
          </w:p>
        </w:tc>
        <w:tc>
          <w:tcPr>
            <w:tcW w:w="1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24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actuarial gains recorded during 2022 for both the U.S. pension and Other retiree benefit plans were primarily a result of an increase in discount rates applied against future estimated benefit payments that resulted in a decrease in the benefit obligation for both the U.S. pension and Other retiree benefit plans, and amendment of the domestic postretirement plan to limit eligibility for certain existing employees and change the way coverage and subsidies are delivered for certain current and future retirees. The actuarial gains recorded during 2021 for both the U.S. pension and other retiree benefit plans were primarily a result of an increase in discount rates applied against future estimated benefit payments that resulted in a decrease in the benefit obligation for both the U.S. pension and Other retiree benefit plans.</w:t>
      </w:r>
    </w:p>
    <w:p>
      <w:pPr>
        <w:spacing w:after="0" w:line="164"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overall investment objective of the plans is to balance risk and return so that obligations to employees are met. The Company evaluates its expected long-term rate of return on plan assets on an annual basis. In determining the expected long-term rate of return, the Company considers the nature of the plans’ investments and the historical rates of return. The assumed expected long-term rate of return on plan assets for U.S. plans was 6.25% as of December 31, 2022 and 5.70% as of December 31, 2021. Average annual rates of return for the U.S. plans for the most recent 1-year, 5-year, 10-year, 15-year and 25-year periods were (18)%, 1%, 4%, 4% and 5%, respectively. Similar assessments were performed in determining rates of return on international pension plan assets to arrive at the Company’s 2022 weighted-average expected long-term rate of return on plan assets of 4.66%.</w:t>
      </w:r>
    </w:p>
    <w:p>
      <w:pPr>
        <w:spacing w:after="0" w:line="164"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The medical cost trend rate of increase assumed in measuring the expected cost of benefits is projected to decrease from 6.25% in 2023 to 4.50% by 2027, remaining at 4.50% for the years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Pension plans with projected benefit obligations in excess of plan assets and plans with accumulated benefit obligations in excess of plan assets as of December 31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Benefit Obligation Exceeds Fair Value of Plan Assets</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r>
      <w:tr>
        <w:trPr>
          <w:trHeight w:val="18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02"/>
        </w:trPr>
        <w:tc>
          <w:tcPr>
            <w:tcW w:w="8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r>
      <w:tr>
        <w:trPr>
          <w:trHeight w:val="18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bl>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Retiree Benefit plans with accumulated postretirement benefit obligation in excess of plan assets as of December 31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Benefit Obligation Exceeds Fair Value of Plan Assets</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postretirement benefit obligation</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84"/>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8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7" w:name="page108"/>
    <w:bookmarkEnd w:id="107"/>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gridSpan w:val="20"/>
          </w:tcPr>
          <w:p>
            <w:pPr>
              <w:jc w:val="right"/>
              <w:ind w:right="29"/>
              <w:spacing w:after="0"/>
              <w:rPr>
                <w:sz w:val="20"/>
                <w:szCs w:val="20"/>
                <w:color w:val="auto"/>
              </w:rPr>
            </w:pPr>
            <w:r>
              <w:rPr>
                <w:rFonts w:ascii="Times New Roman" w:cs="Times New Roman" w:eastAsia="Times New Roman" w:hAnsi="Times New Roman"/>
                <w:sz w:val="14"/>
                <w:szCs w:val="14"/>
                <w:color w:val="auto"/>
              </w:rPr>
              <w:t>Summarized information regarding the net periodic benefit costs for the Company’s defined benefit and other retiree benefit plans is as follows: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color w:val="auto"/>
              </w:rPr>
              <w:t>Pension Plans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color w:val="auto"/>
              </w:rPr>
              <w:t>Other Retiree Benefit Plans</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International</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Net Periodic Benefit Cost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6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8"/>
        </w:trPr>
        <w:tc>
          <w:tcPr>
            <w:tcW w:w="28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Amortization of transition and prior service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(credits)</w:t>
            </w:r>
          </w:p>
        </w:tc>
        <w:tc>
          <w:tcPr>
            <w:tcW w:w="16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actuarial loss</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84</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postretirement charges</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pension cost</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84</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Weighted-Average Assumptions Used to</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Determine Net Periodic Benefit Cost</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2.88 %</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3.56 %</w:t>
            </w:r>
          </w:p>
        </w:tc>
        <w:tc>
          <w:tcPr>
            <w:tcW w:w="0" w:type="dxa"/>
            <w:vAlign w:val="bottom"/>
          </w:tcPr>
          <w:p>
            <w:pPr>
              <w:spacing w:after="0"/>
              <w:rPr>
                <w:sz w:val="1"/>
                <w:szCs w:val="1"/>
                <w:color w:val="auto"/>
              </w:rPr>
            </w:pP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long-term rate of return on plan assets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rate of compensation increase</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2.83 %</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ESOP growth rate</w:t>
            </w:r>
          </w:p>
        </w:tc>
        <w:tc>
          <w:tcPr>
            <w:tcW w:w="160" w:type="dxa"/>
            <w:vAlign w:val="bottom"/>
          </w:tcPr>
          <w:p>
            <w:pPr>
              <w:spacing w:after="0"/>
              <w:rPr>
                <w:sz w:val="15"/>
                <w:szCs w:val="15"/>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5"/>
                <w:szCs w:val="15"/>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5"/>
                <w:szCs w:val="15"/>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Medical cost trend rate of increase</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Crediting Rate</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0.83 %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service related component of pension and other postretirement benefit costs is included in Operating profit. The non-service related components (interest cost, expected return on assets and amortization of actuarial gains and losses) are included in the line item “Non-service related postretirement costs,” which is below Operating profit.</w:t>
      </w:r>
    </w:p>
    <w:p>
      <w:pPr>
        <w:spacing w:after="0" w:line="145"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Other postretirement charges for the twelve months ended December 31, 2022 included pension and other charges of $15 incurred pursuant to the 2022 Global Productivity Initiative. The Company made no voluntary contributions in 2022, 2021, and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Expected Contributions and Benefit Payments</w:t>
      </w:r>
    </w:p>
    <w:p>
      <w:pPr>
        <w:spacing w:after="0" w:line="202"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At present, the Company does not expect to make any voluntary contributions to its U.S. postretirement plans for the year ending December 31, 2023. Actual funding may differ from current estimates depending on the variability of the market value of the assets as compared to the obligation and other market or regulatory conditions.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Benefit payments expected to be paid from the Company’s assets to participants in unfunded plans are estimated to be approximately $86 for the year ending December 31, 2023.</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benefit payments expected to be paid to participants in both funded and unfunded plans are estimated as follows:</w:t>
      </w:r>
    </w:p>
    <w:p>
      <w:pPr>
        <w:spacing w:after="0" w:line="4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Pension Plans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556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3"/>
                <w:szCs w:val="13"/>
                <w:color w:val="auto"/>
              </w:rPr>
              <w:t>Other Retiree Benefit</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9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Years Ended December 31,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International</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8"/>
              </w:rPr>
              <w:t>Plans</w:t>
            </w:r>
          </w:p>
        </w:tc>
        <w:tc>
          <w:tcPr>
            <w:tcW w:w="30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141</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142</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84"/>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2028-2032</w:t>
            </w:r>
          </w:p>
        </w:tc>
        <w:tc>
          <w:tcPr>
            <w:tcW w:w="10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669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  Income Taxes</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components of Income before income taxes are as follows for the years ended December 31:</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3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7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before income taxes</w:t>
            </w: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The Provision for income taxes consists of the following for the years ended December 31:</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73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3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7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100" w:firstLine="255"/>
        <w:spacing w:after="0" w:line="276" w:lineRule="auto"/>
        <w:rPr>
          <w:sz w:val="20"/>
          <w:szCs w:val="20"/>
          <w:color w:val="auto"/>
        </w:rPr>
      </w:pPr>
      <w:r>
        <w:rPr>
          <w:rFonts w:ascii="Times New Roman" w:cs="Times New Roman" w:eastAsia="Times New Roman" w:hAnsi="Times New Roman"/>
          <w:sz w:val="14"/>
          <w:szCs w:val="14"/>
          <w:color w:val="auto"/>
        </w:rPr>
        <w:t>Temporary differences between accounting for financial statement purposes and accounting for tax purposes result in the current provision for taxes being higher (lower) than the total provision for income taxes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2020</w:t>
            </w:r>
          </w:p>
        </w:tc>
      </w:tr>
      <w:tr>
        <w:trPr>
          <w:trHeight w:val="17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retiree benefits</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assets/lease liabilities</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 and tax loss carryforwards</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withholding tax</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Experimentation Capitalization</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benefit (provision)</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0"/>
        </w:trPr>
        <w:tc>
          <w:tcPr>
            <w:tcW w:w="7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difference between the statutory U.S. federal income tax rate and the Company’s global effective tax rate as reflected in the Consolidated Statements of Income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gridSpan w:val="2"/>
          </w:tcPr>
          <w:p>
            <w:pPr>
              <w:ind w:left="7580"/>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3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2020</w:t>
            </w:r>
          </w:p>
        </w:tc>
      </w:tr>
      <w:tr>
        <w:trPr>
          <w:trHeight w:val="161"/>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Percentage of Income before income taxes</w:t>
            </w:r>
          </w:p>
        </w:tc>
        <w:tc>
          <w:tcPr>
            <w:tcW w:w="8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80"/>
        </w:trPr>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Tax at United States statutory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7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Earnings taxed at other than United States statutory rate</w:t>
            </w: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7900" w:type="dxa"/>
            <w:vAlign w:val="bottom"/>
            <w:gridSpan w:val="2"/>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Benefit for foreign tax matters</w:t>
            </w:r>
            <w:r>
              <w:rPr>
                <w:rFonts w:ascii="Times New Roman" w:cs="Times New Roman" w:eastAsia="Times New Roman" w:hAnsi="Times New Roman"/>
                <w:sz w:val="18"/>
                <w:szCs w:val="18"/>
                <w:color w:val="auto"/>
                <w:vertAlign w:val="superscript"/>
              </w:rPr>
              <w:t>(1)</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Non-deductible goodwill impairment charges</w:t>
            </w: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Foreign-derived intangible income benefit</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r>
      <w:tr>
        <w:trPr>
          <w:trHeight w:val="191"/>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24.3 %</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21.6 %</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49" w:lineRule="exact"/>
        <w:rPr>
          <w:sz w:val="20"/>
          <w:szCs w:val="20"/>
          <w:color w:val="auto"/>
        </w:rPr>
      </w:pPr>
    </w:p>
    <w:p>
      <w:pPr>
        <w:ind w:left="260" w:hanging="255"/>
        <w:spacing w:after="0" w:line="239" w:lineRule="auto"/>
        <w:tabs>
          <w:tab w:leader="none" w:pos="250"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 2020, the provision for income taxes includes $71 of income tax benefits recorded on a discrete period basis, of which $45 relates to previously recorded foreign withholding taxes and $26 relates to a previously recorded valuation allowance against a deferred tax asset. As part of a previously recorded charge for the Tax Cuts and Jobs Act of 2017 (the “TCJA”), the Company has provided for foreign withholding taxes expected to be paid on the remittance of earnings from certain overseas subsidiaries no longer deemed indefinitely reinvested. As a result of a recent reorganization of the ownership structure of certain foreign subsidiaries, the Company determined that no withholding taxes will be due on the remittance by certain subsidiaries of earnings previously deemed reinvested and, accordingly, reversed $45 of previously recorded foreign withholding taxes. Also as part of the previously recorded charge for the TCJA, the Company provided a valuation allowance against a deferred tax asset related to the foreign tax credit carryforwards that the Company did not expect to be able to use due to changes made by the TCJA. As a result of a new operating structure being implemented within one of the Company’s divisions, the Company believes the use of these foreign tax credit carryforwards will not be limited in the future and, accordingly, reversed the previously recorded valuation allowance of $26.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1" w:name="page112"/>
    <w:bookmarkEnd w:id="111"/>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components of deferred tax assets (liabilities) are as follows at December 31:</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2"/>
        </w:trPr>
        <w:tc>
          <w:tcPr>
            <w:tcW w:w="86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Goodwill and intangible assets</w:t>
            </w: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180"/>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80"/>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withholding tax</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1"/>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w:t>
            </w:r>
          </w:p>
        </w:tc>
      </w:tr>
      <w:tr>
        <w:trPr>
          <w:trHeight w:val="17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Pension and other retiree benefits</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80"/>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credits and tax loss carryforwards</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0"/>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Lease liabilities</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0"/>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8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Experimentation Capitalization</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7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r>
      <w:tr>
        <w:trPr>
          <w:trHeight w:val="171"/>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7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r>
      <w:tr>
        <w:trPr>
          <w:trHeight w:val="171"/>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income taxes</w:t>
            </w: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0"/>
        </w:trPr>
        <w:tc>
          <w:tcPr>
            <w:tcW w:w="8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Applicable U.S. income and foreign withholding taxes have been provided on substantially all of the Company’s accumulated earnings of foreign subsidiaries.</w:t>
      </w:r>
    </w:p>
    <w:p>
      <w:pPr>
        <w:spacing w:after="0" w:line="285"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Net tax expense of $164 and $146 were recorded directly through equity in 2022 and 2021, respectively. Net tax benefit of $101 was recorded directly through equity in 2020. The net tax expense or benefit in each year predominantly includes current and future tax impacts related to benefit plans and the impact of currency translation adjustments.</w:t>
      </w:r>
    </w:p>
    <w:p>
      <w:pPr>
        <w:spacing w:after="0" w:line="145"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The Company uses a comprehensive model to recognize, measure, present and disclose in its financial statements uncertain tax positions that the Company has taken or expects to take on an income tax return.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2" w:name="page113"/>
    <w:bookmarkEnd w:id="112"/>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Unrecognized tax benefits activity for the years ended December 31, 2022, 2021 and 2020 is summarized below:</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2"/>
        </w:trPr>
        <w:tc>
          <w:tcPr>
            <w:tcW w:w="822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2020</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tax benefits:</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w:t>
            </w:r>
          </w:p>
        </w:tc>
        <w:tc>
          <w:tcPr>
            <w:tcW w:w="64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80"/>
        </w:trPr>
        <w:tc>
          <w:tcPr>
            <w:tcW w:w="8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Increases as a result of tax positions taken during the current year</w:t>
            </w:r>
          </w:p>
        </w:tc>
        <w:tc>
          <w:tcPr>
            <w:tcW w:w="6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Decreases of tax positions taken during prior years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8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Increases of tax positions taken during prior years</w:t>
            </w:r>
          </w:p>
        </w:tc>
        <w:tc>
          <w:tcPr>
            <w:tcW w:w="6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Decreases as a result of settlements with taxing authorities and the expiration of statutes of limitations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8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Effect of foreign currency rate movements</w:t>
            </w: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w:t>
            </w: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If all of the unrecognized tax benefits for 2022 above were recognized, approximately $289 would impact the effective tax rate. It is reasonably possible that the amount of unrecognized benefits with respect to our uncertain tax positions could change in the next twelve months and such change may or may not be material.</w:t>
      </w:r>
    </w:p>
    <w:p>
      <w:pPr>
        <w:spacing w:after="0" w:line="145"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 Company recognized expense of approximately $8, $10 and $9 for interest and penalties related to the above unrecognized tax benefits within income tax expense in 2022, 2021 and 2020, respectively. The Company had accrued interest and penalties of approximately $40, $35 and $24 as of December 31, 2022, 2021 and 2020, respectively.</w:t>
      </w:r>
    </w:p>
    <w:p>
      <w:pPr>
        <w:spacing w:after="0" w:line="145" w:lineRule="exact"/>
        <w:rPr>
          <w:sz w:val="20"/>
          <w:szCs w:val="20"/>
          <w:color w:val="auto"/>
        </w:rPr>
      </w:pPr>
    </w:p>
    <w:p>
      <w:pPr>
        <w:ind w:firstLine="255"/>
        <w:spacing w:after="0" w:line="248" w:lineRule="auto"/>
        <w:rPr>
          <w:sz w:val="20"/>
          <w:szCs w:val="20"/>
          <w:color w:val="auto"/>
        </w:rPr>
      </w:pPr>
      <w:r>
        <w:rPr>
          <w:rFonts w:ascii="Times New Roman" w:cs="Times New Roman" w:eastAsia="Times New Roman" w:hAnsi="Times New Roman"/>
          <w:sz w:val="14"/>
          <w:szCs w:val="14"/>
          <w:color w:val="auto"/>
        </w:rPr>
        <w:t>The Company and its subsidiaries file U.S. federal income tax returns as well as income tax returns in many state and foreign jurisdictions. All U.S. federal income tax returns through December 31, 2013 have been audited by the Internal Revenue Service (the "IRS") and there are limited matters which the Company plans to appeal for years 2010 through 2013. One such matter relates to the IRS assessment of taxes on the Company by imputing income on certain activities within one of our international operations. In light of a recent U.S. Tax Court ruling subsequent to December 31, 2022 in favor of the IRS against an unrelated party on a similar matter, the Company is in the process of reassessing its position as it relates to this matter. The Company is currently under audit by the IRS, where the same matter is being discussed, for the years 2014 through 2018. The amount of tax plus interest for the years 2010 through 2018 is estimated to be approximately $145, which is not included in our uncertain tax positions. With a few exceptions, the Company is no longer subject to U.S. state and local income tax examinations for income tax returns through December 31, 2016. In addition, the Company has subsidiaries in various foreign jurisdictions that have statutes of limitations for tax audits generally ranging from three to six years.</w:t>
      </w:r>
    </w:p>
    <w:p>
      <w:pPr>
        <w:spacing w:after="0" w:line="151" w:lineRule="exact"/>
        <w:rPr>
          <w:sz w:val="20"/>
          <w:szCs w:val="20"/>
          <w:color w:val="auto"/>
        </w:rPr>
      </w:pPr>
    </w:p>
    <w:p>
      <w:pPr>
        <w:ind w:right="260" w:firstLine="255"/>
        <w:spacing w:after="0" w:line="254" w:lineRule="auto"/>
        <w:rPr>
          <w:sz w:val="20"/>
          <w:szCs w:val="20"/>
          <w:color w:val="auto"/>
        </w:rPr>
      </w:pPr>
      <w:r>
        <w:rPr>
          <w:rFonts w:ascii="Times New Roman" w:cs="Times New Roman" w:eastAsia="Times New Roman" w:hAnsi="Times New Roman"/>
          <w:sz w:val="14"/>
          <w:szCs w:val="14"/>
          <w:color w:val="auto"/>
        </w:rPr>
        <w:t>On August 16, 2022, the Inflation Reduction Act of 2022 (“IRA”) was enacted, which among other things, implements a 15% minimum tax on book income of certain large corporations effective for years beginning after December 31, 2022. Based on the Company’s preliminary analysis, the IRA is not expected to have a material impact on the Company’s Consolidated Financial Statements. The Company will continue to evaluate the impact of this law as additional guidance and clarification becomes available.</w:t>
      </w:r>
    </w:p>
    <w:p>
      <w:pPr>
        <w:spacing w:after="0" w:line="168"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Company has made an accounting policy election to treat Global Intangible Low-Taxed Income taxes as a current period expense rather than including these amounts in the measurement of deferred taxes.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3" w:name="page114"/>
    <w:bookmarkEnd w:id="11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Earnings Per Share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years ended December 31, 2022, 2021 and 2020, earnings per share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w w:val="98"/>
              </w:rPr>
              <w:t>Net income</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w w:val="99"/>
              </w:rPr>
              <w:t>attributable to</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6"/>
              </w:rPr>
              <w:t>Shares</w:t>
            </w:r>
          </w:p>
        </w:tc>
        <w:tc>
          <w:tcPr>
            <w:tcW w:w="12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6"/>
              </w:rPr>
              <w:t>Per</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attributable to</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2"/>
                <w:szCs w:val="12"/>
                <w:color w:val="auto"/>
              </w:rPr>
            </w:pPr>
          </w:p>
        </w:tc>
        <w:tc>
          <w:tcPr>
            <w:tcW w:w="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Per</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attributable to</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6"/>
              </w:rPr>
              <w:t>Shares</w:t>
            </w:r>
          </w:p>
        </w:tc>
        <w:tc>
          <w:tcPr>
            <w:tcW w:w="120" w:type="dxa"/>
            <w:vAlign w:val="bottom"/>
          </w:tcPr>
          <w:p>
            <w:pPr>
              <w:spacing w:after="0"/>
              <w:rPr>
                <w:sz w:val="12"/>
                <w:szCs w:val="12"/>
                <w:color w:val="auto"/>
              </w:rPr>
            </w:pPr>
          </w:p>
        </w:tc>
        <w:tc>
          <w:tcPr>
            <w:tcW w:w="56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Per</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2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Colgate-Palmolive</w:t>
            </w: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Colgate-Palmolive</w:t>
            </w: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8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Colgate-Palmolive</w:t>
            </w: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Company</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(millions)</w:t>
            </w:r>
          </w:p>
        </w:tc>
        <w:tc>
          <w:tcPr>
            <w:tcW w:w="12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Company</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(millions)</w:t>
            </w:r>
          </w:p>
        </w:tc>
        <w:tc>
          <w:tcPr>
            <w:tcW w:w="140" w:type="dxa"/>
            <w:vAlign w:val="bottom"/>
          </w:tcPr>
          <w:p>
            <w:pPr>
              <w:spacing w:after="0"/>
              <w:rPr>
                <w:sz w:val="15"/>
                <w:szCs w:val="15"/>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Company</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(millions)</w:t>
            </w:r>
          </w:p>
        </w:tc>
        <w:tc>
          <w:tcPr>
            <w:tcW w:w="12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96"/>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EPS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Stock options and restricted</w:t>
            </w: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units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Basic earnings per common share is computed by dividing net income available for common stockholders by the weighted-average number of shares of common stock outstanding for the period.</w:t>
      </w:r>
    </w:p>
    <w:p>
      <w:pPr>
        <w:spacing w:after="0" w:line="200"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Diluted earnings per common share is computed using the treasury stock method on the basis of the weighted-average number of shares of common stock plus the dilutive effect of potential common shares outstanding during the period. Dilutive potential common shares include outstanding stock options and restricted stock units.</w:t>
      </w:r>
    </w:p>
    <w:p>
      <w:pPr>
        <w:spacing w:after="0" w:line="145"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2022, 2021 and 2020, the average number of stock options that were anti-dilutive and not included in diluted earnings per share calculations were 5,236,371, 2,495,393 and 3,257,310, respectively. As of December 31, 2022, 2021 and 2020, the average number of restricted stock units that were anti-dilutive and not included in diluted earnings per share calculations were 155,118, 126,378 and 25,381,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Commitments and Contingencies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2022, the Company has various contractual commitments for future multi-year purchases of raw, packaging and other materials totaling approximately $723.</w:t>
      </w:r>
    </w:p>
    <w:p>
      <w:pPr>
        <w:spacing w:after="0" w:line="200"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As a global company serving consumers in more than 200 countries and territories, the Company is routinely subject to a wide variety of legal proceedings. These include disputes relating to intellectual property, contracts, product liability, marketing, advertising, foreign exchange controls, antitrust and trade regulation, as well as labor and employment, pension, data privacy and security, environmental and tax matters and consumer class actions. Management proactively reviews and monitors the Company’s exposure to, and the impact of, environmental matters. The Company is party to various environmental matters and, as such, may be responsible for all or a portion of the cleanup, restoration and post-closure monitoring of several sites.</w:t>
      </w:r>
    </w:p>
    <w:p>
      <w:pPr>
        <w:spacing w:after="0" w:line="162"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The Company establishes accruals for loss contingencies when it has determined that a loss is probable and that the amount of loss, or range of loss, can be reasonably estimated. Any such accruals are adjusted thereafter as appropriate to reflect changes in circumstances.</w:t>
      </w:r>
    </w:p>
    <w:p>
      <w:pPr>
        <w:spacing w:after="0" w:line="145"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Company also determines estimates of reasonably possible losses or ranges of reasonably possible losses in excess of related accrued liabilities, if any, when it has determined that a loss is reasonably possible and it is able to determine such estimates. For those matters disclosed below for which the amount of any potential losses can be reasonably estimated, the Company currently estimates that the aggregate range of reasonably possible losses in excess of any accrued liabilities is $0 to approximately $475 (based on current exchange rates).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range may not represent the ultimate loss to the Company. Thus, the Company’s exposure and ultimate losses may be higher or lower, and possibly significantly so, than the amounts accrued or the range disclosed above.</w:t>
      </w:r>
    </w:p>
    <w:p>
      <w:pPr>
        <w:spacing w:after="0" w:line="167"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Based on current knowledge, management does not believe that the ultimate resolution of loss contingencies arising from the matters discussed herein will have a material effect on the Company’s consolidated financial position or its ongoing results of operations or cash flows. However, in light of the inherent uncertainties noted above, an adverse outcome in one or more matters could be material to the Company’s results of operations or cash flows for any particular quarter or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Brazilian Matters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are certain tax and civil proceedings outstanding, as described below, related to the Company’s 1995 acquisition of the Kolynos oral care business from Wyeth (the “Seller”).</w:t>
      </w:r>
    </w:p>
    <w:p>
      <w:pPr>
        <w:spacing w:after="0" w:line="200"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Brazilian internal revenue authority has disallowed interest deductions and foreign exchange losses taken by the Company’s Brazilian subsidiary for certain years in connection with the financing of the Kolynos acquisition. The tax assessments with interest, penalties and any court-mandated fees, at the current exchange rate, are approximately $119. This amount includes additional assessments received from the Brazilian internal revenue authority in April 2016 relating to net operating loss carryforwards used by the Company’s Brazilian subsidiary to offset taxable income that had also been deducted from the authority’s original assessments. The Company has been disputing the disallowances by appealing the assessments since October 2001.</w:t>
      </w:r>
    </w:p>
    <w:p>
      <w:pPr>
        <w:spacing w:after="0" w:line="162"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In each of September 2015, February 2017, September 2018, April 2019 and August 2020, the Company lost an administrative appeal and subsequently challenged these assessments in the Brazilian federal courts. Currently, there are three lawsuits pending in the Lower Federal Court, one case has progressed to the Federal Court of Appeals and another case is expected to be remitted to the Federal Court of Appeals. Although there can be no assurances,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management believes, based on the opinion of its Brazilian legal counsel, that the disallowances are without merit and that the Company should ultimately prevail. The Company is challenging these disallowances vigorously.</w:t>
      </w:r>
    </w:p>
    <w:p>
      <w:pPr>
        <w:spacing w:after="0" w:line="124"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In July 2002, the Brazilian Federal Public Attorney filed a civil action against the federal government of Brazil, Laboratorios Wyeth-Whitehall Ltda. (the Brazilian subsidiary of the Seller) and the Company, as represented by its Brazilian subsidiary, in the 6th. Lower Federal Court in the City of São Paulo, seeking to annul an April 2000 decision by the Brazilian Board of Tax Appeals that found in favor of the Seller’s Brazilian subsidiary on the issue of whether it had incurred taxable capital gains as a result of the divestiture of Kolynos. The action seeks to make the Company’s Brazilian subsidiary jointly and severally liable for any tax due from the Seller’s Brazilian subsidiary. The case has been pending since 2002, and the Lower Federal Court has not issued a decision. Although there can be no assurances, management believes, based on the opinion of its Brazilian legal counsel, that the Company should ultimately prevail in this action. The Company is challenging this action vigorously.</w:t>
      </w:r>
    </w:p>
    <w:p>
      <w:pPr>
        <w:spacing w:after="0" w:line="146"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In December 2005, the Brazilian internal revenue authority issued to the Company’s Brazilian subsidiary a tax assessment with interest, penalties and any court-mandated fees of approximately $52, at the current exchange rate, based on a claim that certain purchases of U.S. Treasury bills by the subsidiary and their subsequent disposition during the period 2000 to 2001 were subject to a tax on foreign exchange transactions. The Company had been disputing the assessment within the internal revenue authority’s administrative appeals process. However, in November 2015, the Superior Chamber of Administrative Tax Appeals denied the Company’s final administrative appeal, and the Company has filed a lawsuit in the Brazilian federal court. In the event the Company is unsuccessful in this lawsuit, further appeals are available within the Brazilian federal courts. Although there can be no assurances, management believes, based on the opinion of its Brazilian legal counsel, that the tax assessment is without merit and that the Company should ultimately prevail. The Company is challenging this assessment vigorously.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Competition Matter</w:t>
      </w:r>
    </w:p>
    <w:p>
      <w:pPr>
        <w:spacing w:after="0" w:line="202"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Certain of the Company’s subsidiaries were historically subject to actions and, in some cases, fines, by governmental authorities in a number of countries related to alleged competition law violations. Substantially all of these matters also involved other consumer goods companies and/or retail customers. The Company’s policy is to comply with antitrust and competition laws and, if a violation of any such laws is found, to take appropriate remedial action and to cooperate fully with any related governmental inquiry. The status as of December 31, 2022 of such competition law matters pending against the Company during the year ended December 31, 2022 is set forth below.</w:t>
      </w:r>
    </w:p>
    <w:p>
      <w:pPr>
        <w:spacing w:after="0" w:line="247" w:lineRule="exact"/>
        <w:rPr>
          <w:sz w:val="20"/>
          <w:szCs w:val="20"/>
          <w:color w:val="auto"/>
        </w:rPr>
      </w:pPr>
    </w:p>
    <w:p>
      <w:pPr>
        <w:ind w:left="760" w:right="60" w:hanging="246"/>
        <w:spacing w:after="0" w:line="264" w:lineRule="auto"/>
        <w:tabs>
          <w:tab w:leader="none" w:pos="7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2014, the Greek competition law authority issued a statement of objections alleging a restriction of parallel imports into Greece. The Company responded to this statement of objections. In July 2017, the Company received the decision from the Greek competition law authority in which the Company was fined $11. The Company appealed the decision to the Greek courts. In April 2019, the Greek courts affirmed the judgment against the Company’s Greek subsidiary, but reduced the fine to $10.5 and dismissed the case against Colgate-Palmolive Company. The Company’s Greek subsidiary and the Greek competition authority have appealed the decision to the Greek Supreme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Talcum Powder Matters</w:t>
      </w:r>
    </w:p>
    <w:p>
      <w:pPr>
        <w:spacing w:after="0" w:line="202" w:lineRule="exact"/>
        <w:rPr>
          <w:sz w:val="20"/>
          <w:szCs w:val="20"/>
          <w:color w:val="auto"/>
        </w:rPr>
      </w:pPr>
    </w:p>
    <w:p>
      <w:pPr>
        <w:ind w:firstLine="255"/>
        <w:spacing w:after="0" w:line="248" w:lineRule="auto"/>
        <w:rPr>
          <w:sz w:val="20"/>
          <w:szCs w:val="20"/>
          <w:color w:val="auto"/>
        </w:rPr>
      </w:pPr>
      <w:r>
        <w:rPr>
          <w:rFonts w:ascii="Times New Roman" w:cs="Times New Roman" w:eastAsia="Times New Roman" w:hAnsi="Times New Roman"/>
          <w:sz w:val="14"/>
          <w:szCs w:val="14"/>
          <w:color w:val="auto"/>
        </w:rPr>
        <w:t>The Company has been named as a defendant in civil actions alleging that certain talcum powder products that were sold prior to 1996 were contaminated with asbestos and/or caused mesothelioma and other cancers. Many of these actions involve a number of co-defendants from a variety of different industries, including suppliers of asbestos and manufacturers of products that, unlike the Company’s products, were designed to contain asbestos. As of December 31, 2022, there were 227 individual cases pending against the Company in state and federal courts throughout the United States, as compared to 171 cases as of December 31, 2021. During the three months ended December 31, 2022, the Company lost an appeal in one case that, in the second quarter of 2019, had resulted in an adverse jury verdict after a trial. The Company has filed a petition with the California Supreme Court seeking to further appeal the decision. During the year ended December 31, 2022, 89 new cases were filed and 33 cases were resolved by voluntary dismissal, settlement or dismissal by the court. The value of the settlements and the accrual with respect to the case that resulted in an adverse jury verdict in the years presented was not material, either individually or in the aggregate, to each such period’s results of operations.</w:t>
      </w:r>
    </w:p>
    <w:p>
      <w:pPr>
        <w:spacing w:after="0" w:line="162"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A significant portion of the Company’s costs incurred in defending and resolving these claims has been, and the Company believes that a portion of the costs will continue to be, covered by insurance policies issued by several primary, excess and umbrella insurance carriers, subject to deductibles, exclusions, retentions, policy limits and insurance carrier insolvencies.</w:t>
      </w:r>
    </w:p>
    <w:p>
      <w:pPr>
        <w:spacing w:after="0" w:line="135" w:lineRule="exact"/>
        <w:rPr>
          <w:sz w:val="20"/>
          <w:szCs w:val="20"/>
          <w:color w:val="auto"/>
        </w:rPr>
      </w:pPr>
    </w:p>
    <w:p>
      <w:pPr>
        <w:ind w:right="100" w:firstLine="255"/>
        <w:spacing w:after="0" w:line="271" w:lineRule="auto"/>
        <w:rPr>
          <w:sz w:val="20"/>
          <w:szCs w:val="20"/>
          <w:color w:val="auto"/>
        </w:rPr>
      </w:pPr>
      <w:r>
        <w:rPr>
          <w:rFonts w:ascii="Times New Roman" w:cs="Times New Roman" w:eastAsia="Times New Roman" w:hAnsi="Times New Roman"/>
          <w:sz w:val="14"/>
          <w:szCs w:val="14"/>
          <w:color w:val="auto"/>
        </w:rPr>
        <w:t>While the Company and its legal counsel believe that these cases are without merit and intend to challenge them vigorously, there can be no assurances regarding the ultimate resolution of these matters.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ERISA Matter</w:t>
      </w:r>
    </w:p>
    <w:p>
      <w:pPr>
        <w:spacing w:after="0" w:line="202" w:lineRule="exact"/>
        <w:rPr>
          <w:sz w:val="20"/>
          <w:szCs w:val="20"/>
          <w:color w:val="auto"/>
        </w:rPr>
      </w:pPr>
    </w:p>
    <w:p>
      <w:pPr>
        <w:ind w:right="40" w:firstLine="255"/>
        <w:spacing w:after="0" w:line="247" w:lineRule="auto"/>
        <w:rPr>
          <w:sz w:val="20"/>
          <w:szCs w:val="20"/>
          <w:color w:val="auto"/>
        </w:rPr>
      </w:pPr>
      <w:r>
        <w:rPr>
          <w:rFonts w:ascii="Times New Roman" w:cs="Times New Roman" w:eastAsia="Times New Roman" w:hAnsi="Times New Roman"/>
          <w:sz w:val="14"/>
          <w:szCs w:val="14"/>
          <w:color w:val="auto"/>
        </w:rPr>
        <w:t>In June 2016, a putative class action claiming that residual annuity payments made to certain participants in the Colgate-Palmolive Company Employees’ Retirement Income Plan (the “Plan”) did not comply with the Employee Retirement Income Security Act was filed against the Plan, the Company and certain individuals (the “Company Defendants”) in the United States District Court for the Southern District of New York (the “Court”). The relief sought includes recalculation of benefits, pre- and post-judgment interest and attorneys’ fees. This action was certified as a class action in July 2017. In July 2020, the Court granted in part and denied in part the Company Defendants’ motion for summary judgment and dismissed certain claims on consent of the parties. In August 2020, the Court granted the plaintiffs’ motion for summary judgment on the remaining claims. The Company and the Plan are contesting this action vigorously and, in September 2020, appealed to the United States Court of Appeals for the Second Circuit. The appeal is currently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Segment Information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operates in two product segments: Oral, Personal and Home Care; and Pet Nutrition.</w:t>
      </w:r>
    </w:p>
    <w:p>
      <w:pPr>
        <w:spacing w:after="0" w:line="200"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 operations of the Oral, Personal and Home Care product segment are managed geographically in five reportable operating segments: North America, Latin America, Europe, Asia Pacific and Africa/Eurasia.</w:t>
      </w:r>
    </w:p>
    <w:p>
      <w:pPr>
        <w:spacing w:after="0" w:line="145"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 Company evaluates segment performance based on several factors, including Operating profit. The Company uses Operating profit as a measure of operating segment performance because it excludes the impact of Corporate-driven decisions related to interest expense and income taxes.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accounting policies of the operating segments are generally the same as those described in Note 2, Summary of Significant Accounting Policies. Intercompany sales have been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eliminated. Corporate operations include costs related to stock options and restricted stock units, research and development costs, Corporate overhead costs, restructuring and related implementation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charges and gains and losses on sales of non-core product lines and assets. The Company reports these items within Corporate operations as they relate to Corporate-based responsibilities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decisions and are not included in the internal measures of segment operating performance used by the Company to measure the underlying performance of the operating segments.</w:t>
      </w:r>
    </w:p>
    <w:p>
      <w:pPr>
        <w:spacing w:after="0" w:line="185"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Approximately two-thirds of the Company’s Net sales are generated from markets outside the U.S., with approximately 45% of the Company’s Net sales coming from emerging markets (which consist of Latin America, Asia (excluding Japan), Africa/Eurasia and Central Europe). Oral, Personal and Home Care sales to Walmart, Inc. and its affiliates represent approximately 11%, 12% and 12% of the Company’s Net sales in 2022, 2021 and 2020, respectively. No other customer represented more than 10% of Net sales in any period presented.</w:t>
      </w:r>
    </w:p>
    <w:p>
      <w:pPr>
        <w:spacing w:after="0" w:line="157"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In 2022, Corporate Operating profit included goodwill and intangible assets impairment charges of $721, charges resulting from the 2022 Global Productivity Initiative of $95, a gain on the sale of land in Asia Pacific of $47 and acquisition-related costs of $19. In 2021, Corporate Operating profit included goodwill and intangible assets impairment charges of $571, and a benefit of $26 related to a value-added tax matter in Brazil. In 2020, Corporate Operating profit included benefits of $16 resulting from the Global Growth and Efficiency Program and acquisition-related costs of $6.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2020</w:t>
            </w:r>
          </w:p>
        </w:tc>
      </w:tr>
      <w:tr>
        <w:trPr>
          <w:trHeight w:val="182"/>
        </w:trPr>
        <w:tc>
          <w:tcPr>
            <w:tcW w:w="66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6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North America</w:t>
            </w:r>
            <w:r>
              <w:rPr>
                <w:rFonts w:ascii="Times New Roman" w:cs="Times New Roman" w:eastAsia="Times New Roman" w:hAnsi="Times New Roman"/>
                <w:sz w:val="18"/>
                <w:szCs w:val="18"/>
                <w:color w:val="auto"/>
                <w:vertAlign w:val="superscript"/>
              </w:rPr>
              <w:t>(1)</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Europe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Africa/Eurasia</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r>
      <w:tr>
        <w:trPr>
          <w:trHeight w:val="17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13,588</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Pet Nutrition</w:t>
            </w:r>
            <w:r>
              <w:rPr>
                <w:rFonts w:ascii="Times New Roman" w:cs="Times New Roman" w:eastAsia="Times New Roman" w:hAnsi="Times New Roman"/>
                <w:sz w:val="18"/>
                <w:szCs w:val="18"/>
                <w:color w:val="auto"/>
                <w:vertAlign w:val="superscript"/>
              </w:rPr>
              <w:t>(2)</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w:t>
            </w:r>
          </w:p>
        </w:tc>
      </w:tr>
      <w:tr>
        <w:trPr>
          <w:trHeight w:val="17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16,471</w:t>
            </w: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5" w:lineRule="exact"/>
        <w:rPr>
          <w:sz w:val="20"/>
          <w:szCs w:val="20"/>
          <w:color w:val="auto"/>
        </w:rPr>
      </w:pPr>
    </w:p>
    <w:p>
      <w:pPr>
        <w:ind w:left="180" w:hanging="175"/>
        <w:spacing w:after="0"/>
        <w:tabs>
          <w:tab w:leader="none" w:pos="180"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sales in the U.S. for Oral, Personal and Home Care were $3,511, $3,391 and $3,447 in 2022, 2021 and 2020, respectively.</w:t>
      </w:r>
    </w:p>
    <w:p>
      <w:pPr>
        <w:spacing w:after="0" w:line="39" w:lineRule="exact"/>
        <w:rPr>
          <w:rFonts w:ascii="Times New Roman" w:cs="Times New Roman" w:eastAsia="Times New Roman" w:hAnsi="Times New Roman"/>
          <w:sz w:val="17"/>
          <w:szCs w:val="17"/>
          <w:color w:val="auto"/>
          <w:vertAlign w:val="superscript"/>
        </w:rPr>
      </w:pPr>
    </w:p>
    <w:p>
      <w:pPr>
        <w:ind w:left="180" w:hanging="175"/>
        <w:spacing w:after="0" w:line="185" w:lineRule="auto"/>
        <w:tabs>
          <w:tab w:leader="none" w:pos="180"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sales in the U.S. for Pet Nutrition were $2,432, $2,018 and $1,712 in 2022, 2021 and 2020,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8" w:name="page119"/>
    <w:bookmarkEnd w:id="118"/>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38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8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North America</w:t>
            </w:r>
          </w:p>
        </w:tc>
        <w:tc>
          <w:tcPr>
            <w:tcW w:w="384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Europe</w:t>
            </w:r>
          </w:p>
        </w:tc>
        <w:tc>
          <w:tcPr>
            <w:tcW w:w="2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Africa/Eurasia</w:t>
            </w:r>
          </w:p>
        </w:tc>
        <w:tc>
          <w:tcPr>
            <w:tcW w:w="28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 Nutrition</w:t>
            </w:r>
          </w:p>
        </w:tc>
        <w:tc>
          <w:tcPr>
            <w:tcW w:w="2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8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profit</w:t>
            </w:r>
          </w:p>
        </w:tc>
        <w:tc>
          <w:tcPr>
            <w:tcW w:w="28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800" w:type="dxa"/>
            <w:vAlign w:val="bottom"/>
          </w:tcPr>
          <w:p>
            <w:pPr>
              <w:spacing w:after="0"/>
              <w:rPr>
                <w:sz w:val="24"/>
                <w:szCs w:val="24"/>
                <w:color w:val="auto"/>
              </w:rPr>
            </w:pPr>
          </w:p>
        </w:tc>
        <w:tc>
          <w:tcPr>
            <w:tcW w:w="38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28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North America</w:t>
            </w:r>
          </w:p>
        </w:tc>
        <w:tc>
          <w:tcPr>
            <w:tcW w:w="384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Europe</w:t>
            </w:r>
          </w:p>
        </w:tc>
        <w:tc>
          <w:tcPr>
            <w:tcW w:w="2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Africa/Eurasia</w:t>
            </w:r>
          </w:p>
        </w:tc>
        <w:tc>
          <w:tcPr>
            <w:tcW w:w="28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 Nutrition</w:t>
            </w:r>
          </w:p>
        </w:tc>
        <w:tc>
          <w:tcPr>
            <w:tcW w:w="2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8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28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3800" w:type="dxa"/>
            <w:vAlign w:val="bottom"/>
          </w:tcPr>
          <w:p>
            <w:pPr>
              <w:spacing w:after="0"/>
              <w:rPr>
                <w:sz w:val="24"/>
                <w:szCs w:val="24"/>
                <w:color w:val="auto"/>
              </w:rPr>
            </w:pPr>
          </w:p>
        </w:tc>
        <w:tc>
          <w:tcPr>
            <w:tcW w:w="38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28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North America</w:t>
            </w:r>
          </w:p>
        </w:tc>
        <w:tc>
          <w:tcPr>
            <w:tcW w:w="384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Europe</w:t>
            </w:r>
          </w:p>
        </w:tc>
        <w:tc>
          <w:tcPr>
            <w:tcW w:w="2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Africa/Eurasia</w:t>
            </w:r>
          </w:p>
        </w:tc>
        <w:tc>
          <w:tcPr>
            <w:tcW w:w="28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 Nutrition</w:t>
            </w:r>
          </w:p>
        </w:tc>
        <w:tc>
          <w:tcPr>
            <w:tcW w:w="2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8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28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117</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38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0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9" w:name="page120"/>
    <w:bookmarkEnd w:id="119"/>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2020</w:t>
            </w:r>
          </w:p>
        </w:tc>
      </w:tr>
      <w:tr>
        <w:trPr>
          <w:trHeight w:val="16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North America</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r>
      <w:tr>
        <w:trPr>
          <w:trHeight w:val="180"/>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Latin America</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r>
      <w:tr>
        <w:trPr>
          <w:trHeight w:val="180"/>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Europe</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w:t>
            </w:r>
          </w:p>
        </w:tc>
      </w:tr>
      <w:tr>
        <w:trPr>
          <w:trHeight w:val="180"/>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w:t>
            </w:r>
          </w:p>
        </w:tc>
      </w:tr>
      <w:tr>
        <w:trPr>
          <w:trHeight w:val="180"/>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Africa/Eurasia</w:t>
            </w: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17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14,646</w:t>
            </w: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 Nutrition</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r>
      <w:tr>
        <w:trPr>
          <w:trHeight w:val="180"/>
        </w:trPr>
        <w:tc>
          <w:tcPr>
            <w:tcW w:w="66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Corporate</w:t>
            </w:r>
            <w:r>
              <w:rPr>
                <w:rFonts w:ascii="Times New Roman" w:cs="Times New Roman" w:eastAsia="Times New Roman" w:hAnsi="Times New Roman"/>
                <w:sz w:val="18"/>
                <w:szCs w:val="18"/>
                <w:color w:val="auto"/>
                <w:vertAlign w:val="superscript"/>
              </w:rPr>
              <w:t>(1)</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6"/>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Identifiable assets</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55" w:lineRule="exact"/>
        <w:rPr>
          <w:sz w:val="20"/>
          <w:szCs w:val="20"/>
          <w:color w:val="auto"/>
        </w:rPr>
      </w:pPr>
    </w:p>
    <w:p>
      <w:pPr>
        <w:ind w:left="260" w:right="120" w:hanging="255"/>
        <w:spacing w:after="0" w:line="218" w:lineRule="auto"/>
        <w:tabs>
          <w:tab w:leader="none" w:pos="25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2022, Corporate identifiable assets primarily consisted of investments in equity securities (95%). In 2021, Corporate identifiable assets primarily consisted of investments in equity securities (87%) and derivative instruments (10%). In 2020, Corporate identifiable assets primarily consisted of investments in equity securities (95%).</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2020</w:t>
            </w:r>
          </w:p>
        </w:tc>
      </w:tr>
      <w:tr>
        <w:trPr>
          <w:trHeight w:val="161"/>
        </w:trPr>
        <w:tc>
          <w:tcPr>
            <w:tcW w:w="6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Long-lived assets</w:t>
            </w:r>
            <w:r>
              <w:rPr>
                <w:rFonts w:ascii="Times New Roman" w:cs="Times New Roman" w:eastAsia="Times New Roman" w:hAnsi="Times New Roman"/>
                <w:sz w:val="18"/>
                <w:szCs w:val="18"/>
                <w:b w:val="1"/>
                <w:bCs w:val="1"/>
                <w:color w:val="auto"/>
                <w:vertAlign w:val="superscript"/>
              </w:rPr>
              <w:t>(1)</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r>
      <w:tr>
        <w:trPr>
          <w:trHeight w:val="17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Long-lived assets</w:t>
            </w: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4,237</w:t>
            </w: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25" w:lineRule="exact"/>
        <w:rPr>
          <w:sz w:val="20"/>
          <w:szCs w:val="20"/>
          <w:color w:val="auto"/>
        </w:rPr>
      </w:pPr>
    </w:p>
    <w:p>
      <w:pPr>
        <w:ind w:left="240" w:hanging="235"/>
        <w:spacing w:after="0"/>
        <w:tabs>
          <w:tab w:leader="none" w:pos="2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Long-lived assets include Property, plant and equipment, net and lease right-of-use assets.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Leases</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Company enters into leases for land, office space, warehouses and equipment. A number of the leases include one or more options to renew the lease terms, purchase the leased property or terminate the lease. The exercise of these options is at the Company’s discretion and is therefore recognized on the balance sheet when it is reasonably certain the Company will exercise such options. As the Company’s leases typically do not contain a readily determinable implicit rate, the Company determines the present value of the lease liability using its incremental borrowing rate at the lease commencement date.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Substantially all of the Company’s leases are considered operating leases. Finance leases were not material as of December 31, 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 of December 31, 2022 and 2021, the Company’s right-of use assets and liabilities for operating leases were as follows:</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3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accruals</w:t>
            </w: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Lease liabilities for operating leases as of December 31, 2022 were as follows: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8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commitments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8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8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The components of the Company’s operating lease cost for the twelve months ended December 31, 2022 and 2021 were as follows:</w:t>
            </w:r>
          </w:p>
        </w:tc>
        <w:tc>
          <w:tcPr>
            <w:tcW w:w="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8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3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cost</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Short-term lease cost represents the Company’s cost with respect to leases with a duration of 12 months or less and is not reflected on the Company’s Consolidated Balance Sheets. Variable lease costs are comprised of costs, such as the Company’s proportionate share of actual costs for utilities, common area maintenance, property taxes and insurance, that are not included in the lease liability and are recognized in the period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1" w:name="page122"/>
    <w:bookmarkEnd w:id="121"/>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for the twelve months ended December 31, 2022 and 2021 was as follows:</w:t>
      </w:r>
    </w:p>
    <w:p>
      <w:pPr>
        <w:spacing w:after="0" w:line="51" w:lineRule="exact"/>
        <w:rPr>
          <w:sz w:val="20"/>
          <w:szCs w:val="20"/>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against amounts included in the measurement of lease liabilities: $169 and $173, respectively</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 assets obtained in exchange for lease liabilities: $85 and $197, respectively.</w:t>
      </w:r>
    </w:p>
    <w:p>
      <w:pPr>
        <w:spacing w:after="0" w:line="18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2022 and 2021, the weighted-average remaining lease term for operating leases was 7 and 8 years, respectively, and the weighted-average discount rate for operating leases was 3.9% and 4.0%, respectively.</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material operating leases that the Company had entered into and that were yet to commence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122" w:name="page123"/>
    <w:bookmarkEnd w:id="122"/>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16.  Supplemental Income Statement Information</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84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Global Growth and Efficiency Program</w:t>
            </w:r>
          </w:p>
        </w:tc>
        <w:tc>
          <w:tcPr>
            <w:tcW w:w="840" w:type="dxa"/>
            <w:vAlign w:val="bottom"/>
            <w:gridSpan w:val="2"/>
            <w:shd w:val="clear" w:color="auto" w:fill="CCEEFF"/>
          </w:tcPr>
          <w:p>
            <w:pPr>
              <w:jc w:val="right"/>
              <w:ind w:right="70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income</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from marketable securities and other assets</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Indirect tax refunds</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Value-added tax matter in Brazil</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Acquisition-related costs</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Global Productivity Initiative</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the sale of land in Asia Pacific</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40" w:type="dxa"/>
            <w:vAlign w:val="bottom"/>
            <w:tcBorders>
              <w:bottom w:val="single" w:sz="8" w:color="auto"/>
            </w:tcBorders>
            <w:gridSpan w:val="2"/>
            <w:shd w:val="clear" w:color="auto" w:fill="CCEEFF"/>
          </w:tcPr>
          <w:p>
            <w:pPr>
              <w:jc w:val="right"/>
              <w:ind w:right="70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 expense,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7280" w:type="dxa"/>
            <w:vAlign w:val="bottom"/>
            <w:vMerge w:val="continue"/>
          </w:tcPr>
          <w:p>
            <w:pPr>
              <w:spacing w:after="0"/>
              <w:rPr>
                <w:sz w:val="24"/>
                <w:szCs w:val="24"/>
                <w:color w:val="auto"/>
              </w:rPr>
            </w:pP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incurred</w:t>
            </w:r>
          </w:p>
        </w:tc>
        <w:tc>
          <w:tcPr>
            <w:tcW w:w="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capitalized</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 expense, net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28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gridSpan w:val="2"/>
            <w:shd w:val="clear" w:color="auto" w:fill="CCEEFF"/>
          </w:tcPr>
          <w:p>
            <w:pPr>
              <w:jc w:val="right"/>
              <w:ind w:right="70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840" w:type="dxa"/>
            <w:vAlign w:val="bottom"/>
            <w:gridSpan w:val="2"/>
          </w:tcPr>
          <w:p>
            <w:pPr>
              <w:jc w:val="right"/>
              <w:ind w:right="70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3"/>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3" w:name="page124"/>
    <w:bookmarkEnd w:id="123"/>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17.  Supplemental Balance Sheet Information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61"/>
        </w:trPr>
        <w:tc>
          <w:tcPr>
            <w:tcW w:w="26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Inventories by major class are as follows at December 31: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260" w:type="dxa"/>
            <w:vAlign w:val="bottom"/>
          </w:tcPr>
          <w:p>
            <w:pPr>
              <w:spacing w:after="0"/>
              <w:rPr>
                <w:sz w:val="17"/>
                <w:szCs w:val="17"/>
                <w:color w:val="auto"/>
              </w:rPr>
            </w:pPr>
          </w:p>
        </w:tc>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260" w:type="dxa"/>
            <w:vAlign w:val="bottom"/>
          </w:tcPr>
          <w:p>
            <w:pPr>
              <w:spacing w:after="0"/>
              <w:rPr>
                <w:sz w:val="14"/>
                <w:szCs w:val="14"/>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 and supplies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180"/>
        </w:trPr>
        <w:tc>
          <w:tcPr>
            <w:tcW w:w="260" w:type="dxa"/>
            <w:vAlign w:val="bottom"/>
          </w:tcPr>
          <w:p>
            <w:pPr>
              <w:spacing w:after="0"/>
              <w:rPr>
                <w:sz w:val="15"/>
                <w:szCs w:val="15"/>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260" w:type="dxa"/>
            <w:vAlign w:val="bottom"/>
          </w:tcPr>
          <w:p>
            <w:pPr>
              <w:spacing w:after="0"/>
              <w:rPr>
                <w:sz w:val="15"/>
                <w:szCs w:val="15"/>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r>
      <w:tr>
        <w:trPr>
          <w:trHeight w:val="171"/>
        </w:trPr>
        <w:tc>
          <w:tcPr>
            <w:tcW w:w="260" w:type="dxa"/>
            <w:vAlign w:val="bottom"/>
          </w:tcPr>
          <w:p>
            <w:pPr>
              <w:spacing w:after="0"/>
              <w:rPr>
                <w:sz w:val="14"/>
                <w:szCs w:val="1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Inventories, net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80" w:type="dxa"/>
            <w:vAlign w:val="bottom"/>
          </w:tcPr>
          <w:p>
            <w:pPr>
              <w:spacing w:after="0"/>
              <w:rPr>
                <w:sz w:val="14"/>
                <w:szCs w:val="14"/>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w:t>
            </w:r>
          </w:p>
        </w:tc>
      </w:tr>
      <w:tr>
        <w:trPr>
          <w:trHeight w:val="180"/>
        </w:trPr>
        <w:tc>
          <w:tcPr>
            <w:tcW w:w="260" w:type="dxa"/>
            <w:vAlign w:val="bottom"/>
          </w:tcPr>
          <w:p>
            <w:pPr>
              <w:spacing w:after="0"/>
              <w:rPr>
                <w:sz w:val="15"/>
                <w:szCs w:val="15"/>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inventory, net</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71"/>
        </w:trPr>
        <w:tc>
          <w:tcPr>
            <w:tcW w:w="260" w:type="dxa"/>
            <w:vAlign w:val="bottom"/>
          </w:tcPr>
          <w:p>
            <w:pPr>
              <w:spacing w:after="0"/>
              <w:rPr>
                <w:sz w:val="14"/>
                <w:szCs w:val="1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Inventories, net</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w:t>
            </w:r>
          </w:p>
        </w:tc>
      </w:tr>
      <w:tr>
        <w:trPr>
          <w:trHeight w:val="20"/>
        </w:trPr>
        <w:tc>
          <w:tcPr>
            <w:tcW w:w="2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jc w:val="both"/>
        <w:ind w:right="180" w:firstLine="255"/>
        <w:spacing w:after="0" w:line="270" w:lineRule="auto"/>
        <w:rPr>
          <w:sz w:val="20"/>
          <w:szCs w:val="20"/>
          <w:color w:val="auto"/>
        </w:rPr>
      </w:pPr>
      <w:r>
        <w:rPr>
          <w:rFonts w:ascii="Times New Roman" w:cs="Times New Roman" w:eastAsia="Times New Roman" w:hAnsi="Times New Roman"/>
          <w:sz w:val="14"/>
          <w:szCs w:val="14"/>
          <w:color w:val="auto"/>
        </w:rPr>
        <w:t>Inventories valued under LIFO amounted to $458 and $410 at December 31, 2022 and 2021, respectively. The excess of current cost over LIFO cost at the end of each year was $146 and $60, respectively. The liquidations of LIFO inventory quantities had no material effect on income in 2022, 2021 and 2020. Inventory classified as non-current at December 31, 2022 was recorded on the Consolidated Balance Sheets as “Other assets.”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machinery and equipment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equipment</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80" w:type="dxa"/>
            <w:vAlign w:val="bottom"/>
            <w:tcBorders>
              <w:bottom w:val="single" w:sz="8" w:color="auto"/>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accruals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480" w:type="dxa"/>
            <w:vAlign w:val="bottom"/>
            <w:tcBorders>
              <w:bottom w:val="single" w:sz="8" w:color="CCEEFF"/>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advertising and coupon redemption</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payroll and employee benefits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taxes other than income taxes</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accrual</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retiree benefits</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due in one year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accruals</w:t>
            </w:r>
          </w:p>
        </w:tc>
        <w:tc>
          <w:tcPr>
            <w:tcW w:w="20" w:type="dxa"/>
            <w:vAlign w:val="bottom"/>
          </w:tcPr>
          <w:p>
            <w:pPr>
              <w:spacing w:after="0"/>
              <w:rPr>
                <w:sz w:val="14"/>
                <w:szCs w:val="14"/>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8480" w:type="dxa"/>
            <w:vAlign w:val="bottom"/>
            <w:tcBorders>
              <w:bottom w:val="single" w:sz="8" w:color="CCEEFF"/>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retiree benefits</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accrual</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liabilities</w:t>
            </w:r>
          </w:p>
        </w:tc>
        <w:tc>
          <w:tcPr>
            <w:tcW w:w="280" w:type="dxa"/>
            <w:vAlign w:val="bottom"/>
            <w:tcBorders>
              <w:bottom w:val="single" w:sz="8" w:color="auto"/>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4" w:name="page125"/>
    <w:bookmarkEnd w:id="124"/>
    <w:p>
      <w:pPr>
        <w:ind w:left="44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(Dollars in Millions Except Share and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18.  Supplemental Other Comprehensive Income (Loss) Information</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61"/>
        </w:trPr>
        <w:tc>
          <w:tcPr>
            <w:tcW w:w="10140" w:type="dxa"/>
            <w:vAlign w:val="bottom"/>
            <w:gridSpan w:val="13"/>
          </w:tcPr>
          <w:p>
            <w:pPr>
              <w:ind w:left="260"/>
              <w:spacing w:after="0"/>
              <w:rPr>
                <w:sz w:val="20"/>
                <w:szCs w:val="20"/>
                <w:color w:val="auto"/>
              </w:rPr>
            </w:pPr>
            <w:r>
              <w:rPr>
                <w:rFonts w:ascii="Times New Roman" w:cs="Times New Roman" w:eastAsia="Times New Roman" w:hAnsi="Times New Roman"/>
                <w:sz w:val="14"/>
                <w:szCs w:val="14"/>
                <w:color w:val="auto"/>
              </w:rPr>
              <w:t>Other comprehensive income (loss) components attributable to Colgate-Palmolive Company before tax and net of tax during the years ended December 31 were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2"/>
        </w:trPr>
        <w:tc>
          <w:tcPr>
            <w:tcW w:w="4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2020</w:t>
            </w:r>
          </w:p>
        </w:tc>
        <w:tc>
          <w:tcPr>
            <w:tcW w:w="920" w:type="dxa"/>
            <w:vAlign w:val="bottom"/>
            <w:tcBorders>
              <w:bottom w:val="single" w:sz="8" w:color="auto"/>
            </w:tcBorders>
          </w:tcPr>
          <w:p>
            <w:pPr>
              <w:spacing w:after="0"/>
              <w:rPr>
                <w:sz w:val="17"/>
                <w:szCs w:val="17"/>
                <w:color w:val="auto"/>
              </w:rPr>
            </w:pPr>
          </w:p>
        </w:tc>
      </w:tr>
      <w:tr>
        <w:trPr>
          <w:trHeight w:val="171"/>
        </w:trPr>
        <w:tc>
          <w:tcPr>
            <w:tcW w:w="42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Pretax</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Net of Tax</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Pretax</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Net of Tax</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Pretax</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Net of Tax</w:t>
            </w:r>
          </w:p>
        </w:tc>
      </w:tr>
      <w:tr>
        <w:trPr>
          <w:trHeight w:val="28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translation adjustments</w:t>
            </w: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and other benefits: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38"/>
        </w:trPr>
        <w:tc>
          <w:tcPr>
            <w:tcW w:w="420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Net actuarial gain (loss), prior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4"/>
        </w:trPr>
        <w:tc>
          <w:tcPr>
            <w:tcW w:w="420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service costs and settlements</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4"/>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during the period</w:t>
            </w:r>
          </w:p>
        </w:tc>
        <w:tc>
          <w:tcPr>
            <w:tcW w:w="7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38"/>
        </w:trPr>
        <w:tc>
          <w:tcPr>
            <w:tcW w:w="420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Amortization of net actuarial loss,</w:t>
            </w: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91"/>
        </w:trPr>
        <w:tc>
          <w:tcPr>
            <w:tcW w:w="4200" w:type="dxa"/>
            <w:vAlign w:val="bottom"/>
            <w:shd w:val="clear" w:color="auto" w:fill="CCEEFF"/>
          </w:tcPr>
          <w:p>
            <w:pPr>
              <w:ind w:left="120"/>
              <w:spacing w:after="0" w:line="191" w:lineRule="exact"/>
              <w:rPr>
                <w:sz w:val="20"/>
                <w:szCs w:val="20"/>
                <w:color w:val="auto"/>
              </w:rPr>
            </w:pPr>
            <w:r>
              <w:rPr>
                <w:rFonts w:ascii="Times New Roman" w:cs="Times New Roman" w:eastAsia="Times New Roman" w:hAnsi="Times New Roman"/>
                <w:sz w:val="14"/>
                <w:szCs w:val="14"/>
                <w:color w:val="auto"/>
              </w:rPr>
              <w:t>transition and prior service costs</w:t>
            </w:r>
            <w:r>
              <w:rPr>
                <w:rFonts w:ascii="Times New Roman" w:cs="Times New Roman" w:eastAsia="Times New Roman" w:hAnsi="Times New Roman"/>
                <w:sz w:val="18"/>
                <w:szCs w:val="18"/>
                <w:color w:val="auto"/>
                <w:vertAlign w:val="superscript"/>
              </w:rPr>
              <w:t>(1)</w:t>
            </w: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38"/>
        </w:trPr>
        <w:tc>
          <w:tcPr>
            <w:tcW w:w="42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Retirement Plan and other retiree benefit</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9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38"/>
        </w:trPr>
        <w:tc>
          <w:tcPr>
            <w:tcW w:w="420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Unrealized gains (losses) on cash flow</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91"/>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hedges</w:t>
            </w:r>
          </w:p>
        </w:tc>
        <w:tc>
          <w:tcPr>
            <w:tcW w:w="7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38"/>
        </w:trPr>
        <w:tc>
          <w:tcPr>
            <w:tcW w:w="420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Reclassification of (gains) losses</w:t>
            </w: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2"/>
        </w:trPr>
        <w:tc>
          <w:tcPr>
            <w:tcW w:w="42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into net earnings on cash flow</w:t>
            </w: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87"/>
        </w:trPr>
        <w:tc>
          <w:tcPr>
            <w:tcW w:w="420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4"/>
                <w:szCs w:val="14"/>
                <w:color w:val="auto"/>
              </w:rPr>
              <w:t>hedges</w:t>
            </w:r>
            <w:r>
              <w:rPr>
                <w:rFonts w:ascii="Times New Roman" w:cs="Times New Roman" w:eastAsia="Times New Roman" w:hAnsi="Times New Roman"/>
                <w:sz w:val="18"/>
                <w:szCs w:val="18"/>
                <w:color w:val="auto"/>
                <w:vertAlign w:val="superscript"/>
              </w:rPr>
              <w:t>(2)</w:t>
            </w:r>
          </w:p>
        </w:tc>
        <w:tc>
          <w:tcPr>
            <w:tcW w:w="7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Gains (losses) on cash flow hedges</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w:t>
            </w: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5" w:lineRule="exact"/>
        <w:rPr>
          <w:sz w:val="20"/>
          <w:szCs w:val="20"/>
          <w:color w:val="auto"/>
        </w:rPr>
      </w:pPr>
    </w:p>
    <w:p>
      <w:pPr>
        <w:ind w:left="240" w:hanging="235"/>
        <w:spacing w:after="0"/>
        <w:tabs>
          <w:tab w:leader="none" w:pos="240" w:val="left"/>
        </w:tabs>
        <w:numPr>
          <w:ilvl w:val="0"/>
          <w:numId w:val="3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components of Other comprehensive income (loss) are included in the computation of total pension cost. See Note 10, Retirement Plans and Other Retiree Benefits for additional details.</w:t>
      </w:r>
    </w:p>
    <w:p>
      <w:pPr>
        <w:spacing w:after="0" w:line="39" w:lineRule="exact"/>
        <w:rPr>
          <w:rFonts w:ascii="Times New Roman" w:cs="Times New Roman" w:eastAsia="Times New Roman" w:hAnsi="Times New Roman"/>
          <w:sz w:val="17"/>
          <w:szCs w:val="17"/>
          <w:color w:val="auto"/>
          <w:vertAlign w:val="superscript"/>
        </w:rPr>
      </w:pPr>
    </w:p>
    <w:p>
      <w:pPr>
        <w:ind w:left="240" w:hanging="235"/>
        <w:spacing w:after="0" w:line="185" w:lineRule="auto"/>
        <w:tabs>
          <w:tab w:leader="none" w:pos="240" w:val="left"/>
        </w:tabs>
        <w:numPr>
          <w:ilvl w:val="0"/>
          <w:numId w:val="3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(gains) losses are reclassified into Cost of sales. See Note 7, Fair Value Measurements and Financial Instruments for additional details.</w:t>
      </w:r>
    </w:p>
    <w:p>
      <w:pPr>
        <w:spacing w:after="0" w:line="170" w:lineRule="exact"/>
        <w:rPr>
          <w:rFonts w:ascii="Times New Roman" w:cs="Times New Roman" w:eastAsia="Times New Roman" w:hAnsi="Times New Roman"/>
          <w:sz w:val="17"/>
          <w:szCs w:val="17"/>
          <w:color w:val="auto"/>
          <w:vertAlign w:val="superscript"/>
        </w:rPr>
      </w:pPr>
    </w:p>
    <w:p>
      <w:pPr>
        <w:ind w:left="26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There were no tax impacts on Other comprehensive income (loss) attributable to Noncontrolling interests.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Accumulated Other Comprehensive Income (Loss)</w:t>
      </w:r>
    </w:p>
    <w:p>
      <w:pPr>
        <w:spacing w:after="0" w:line="202"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Accumulated other comprehensive income (loss) is comprised of cumulative foreign currency translation gains and losses, unrecognized pension and other retiree benefit costs and unrealized gains and losses from derivative instruments designated as cash flow hedges. At December 31, 2022 and 2021, Accumulated other comprehensive income (loss) consisted primarily of aftertax unrecognized pension and other retiree benefit costs of $631 and $1,044, respectively, and cumulative foreign currency translation adjustments of $3,491 and $3,349, respectively. Foreign currency translation adjustments in 2022 primarily reflect losses from the euro, Indian rupee and Colombian peso. Foreign currency translation adjustments in 2021 primarily reflect losses from the euro, Brazilian real, Thailand baht and Turkish lira.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SCHEDULE II - VALUATION AND QUALIFYING ACCOUNTS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Additions</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29"/>
        </w:trPr>
        <w:tc>
          <w:tcPr>
            <w:tcW w:w="4920" w:type="dxa"/>
            <w:vAlign w:val="bottom"/>
          </w:tcPr>
          <w:p>
            <w:pPr>
              <w:spacing w:after="0"/>
              <w:rPr>
                <w:sz w:val="11"/>
                <w:szCs w:val="11"/>
                <w:color w:val="auto"/>
              </w:rPr>
            </w:pPr>
          </w:p>
        </w:tc>
        <w:tc>
          <w:tcPr>
            <w:tcW w:w="14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Balance at Beginning</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color w:val="auto"/>
                <w:w w:val="99"/>
              </w:rPr>
              <w:t>Charged to Costs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of Period</w:t>
            </w:r>
          </w:p>
        </w:tc>
        <w:tc>
          <w:tcPr>
            <w:tcW w:w="10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and Expenses</w:t>
            </w:r>
          </w:p>
        </w:tc>
        <w:tc>
          <w:tcPr>
            <w:tcW w:w="16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Deductions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Balance at End of Period</w:t>
            </w:r>
          </w:p>
        </w:tc>
      </w:tr>
      <w:tr>
        <w:trPr>
          <w:trHeight w:val="18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 and estimated returns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for deferred tax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 and estimated returns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for deferred tax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 and estimated returns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for deferred tax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126" w:name="page127"/>
    <w:bookmarkEnd w:id="126"/>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3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common stock is listed on the New York Stock Exchange, and its trading symbol is CL.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Price Performance Graphs</w:t>
      </w:r>
    </w:p>
    <w:p>
      <w:pPr>
        <w:spacing w:after="0" w:line="202" w:lineRule="exact"/>
        <w:rPr>
          <w:sz w:val="20"/>
          <w:szCs w:val="20"/>
          <w:color w:val="auto"/>
        </w:rPr>
      </w:pPr>
    </w:p>
    <w:p>
      <w:pPr>
        <w:ind w:right="40" w:firstLine="139"/>
        <w:spacing w:after="0" w:line="261" w:lineRule="auto"/>
        <w:rPr>
          <w:sz w:val="20"/>
          <w:szCs w:val="20"/>
          <w:color w:val="auto"/>
        </w:rPr>
      </w:pPr>
      <w:r>
        <w:rPr>
          <w:rFonts w:ascii="Times New Roman" w:cs="Times New Roman" w:eastAsia="Times New Roman" w:hAnsi="Times New Roman"/>
          <w:sz w:val="14"/>
          <w:szCs w:val="14"/>
          <w:color w:val="auto"/>
        </w:rPr>
        <w:t>The following graphs compare cumulative total shareholder returns on Colgate-Palmolive Company common stock against the S&amp;P Composite-500 Stock Index and a peer company index for the twenty-year, ten-year and five-year periods each ended December 31, 2022. The peer company index is comprised of consumer products companies that have both domestic and international businesses. For 2022, the peer company index consisted of Campbell Soup Company, The Clorox Company, The Coca-Cola Company, ConAgra Brands, Inc., The Estee Lauder Companies, Inc., General Mills, Inc., Johnson &amp; Johnson, Kellogg Company, Kimberly-Clark Corporation, The Kraft Heinz Company, Mondelez International, Inc., PepsiCo, Inc., The Procter &amp; Gamble Company, Reckitt Benckiser Group plc and Unilever PLC.</w:t>
      </w:r>
    </w:p>
    <w:p>
      <w:pPr>
        <w:spacing w:after="0" w:line="164" w:lineRule="exact"/>
        <w:rPr>
          <w:sz w:val="20"/>
          <w:szCs w:val="20"/>
          <w:color w:val="auto"/>
        </w:rPr>
      </w:pPr>
    </w:p>
    <w:p>
      <w:pPr>
        <w:ind w:firstLine="139"/>
        <w:spacing w:after="0" w:line="270" w:lineRule="auto"/>
        <w:rPr>
          <w:sz w:val="20"/>
          <w:szCs w:val="20"/>
          <w:color w:val="auto"/>
        </w:rPr>
      </w:pPr>
      <w:r>
        <w:rPr>
          <w:rFonts w:ascii="Times New Roman" w:cs="Times New Roman" w:eastAsia="Times New Roman" w:hAnsi="Times New Roman"/>
          <w:sz w:val="14"/>
          <w:szCs w:val="14"/>
          <w:color w:val="auto"/>
        </w:rPr>
        <w:t>These performance graphs do not constitute soliciting material, are not deemed filed with the SEC and are not incorporated by reference in any of the Company’s filings under the Securities Act of 1933 or the Securities Exchange Act of 1934, as amended, whether made before or after the date of this Annual Report on Form 10-K and irrespective of any general incorporation language in any such filing, except to the extent the Company specifically incorporates these performance graphs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109220</wp:posOffset>
            </wp:positionV>
            <wp:extent cx="4277995" cy="3530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4277995" cy="353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1220"/>
          </w:cols>
          <w:pgMar w:left="300" w:top="314" w:right="379" w:bottom="1440" w:gutter="0" w:footer="0" w:header="0"/>
        </w:sectPr>
      </w:pPr>
    </w:p>
    <w:bookmarkStart w:id="127" w:name="page128"/>
    <w:bookmarkEnd w:id="127"/>
    <w:p>
      <w:pPr>
        <w:ind w:left="10320"/>
        <w:spacing w:after="0"/>
        <w:rPr>
          <w:sz w:val="20"/>
          <w:szCs w:val="20"/>
          <w:color w:val="auto"/>
        </w:rPr>
      </w:pPr>
      <w:r>
        <w:rPr>
          <w:rFonts w:ascii="Times New Roman" w:cs="Times New Roman" w:eastAsia="Times New Roman" w:hAnsi="Times New Roman"/>
          <w:sz w:val="14"/>
          <w:szCs w:val="14"/>
          <w:b w:val="1"/>
          <w:bCs w:val="1"/>
          <w:color w:val="auto"/>
        </w:rPr>
        <w:t>EXHIBIT 4(a)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THE REGISTRANT’S SECURITIES REGISTERED PURSUANT TO SECTION 12 OF THE SECURITIES EXCHANGE ACT OF 1934</w:t>
      </w:r>
    </w:p>
    <w:p>
      <w:pPr>
        <w:spacing w:after="0" w:line="16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As of February 16, 2023, Colgate-Palmolive Company, a Delaware corporation (“Colgate” or the “Company”), had five classes of securities registered under Section 12 of the Securities Exchange Act of 1934, as amended (the “Exchange Act”): (i) common stock, par value $1.00 per share (“Common Stock”), (ii) the 0.500% Medium-Term Notes, Series H due 2026 (the “2026 Notes”), (iii) the 0.300% Senior Notes due 2029 (the “2029 Notes”), (iv) the 1.375% Medium-Term Notes, Series H due 2034 (the “2034 Notes”) and (v) the 0.875% Medium-Term Notes, Series H due 2039 (the “2039 Notes” and together with the 2026 Notes, the 2029 Notes and 2034 Notes, the “Notes”). Each of the Company’s securities registered under Section 12 of the Exchange Act is listed on the New York Stock Exchange.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Common Stock</w:t>
      </w:r>
    </w:p>
    <w:p>
      <w:pPr>
        <w:spacing w:after="0" w:line="168"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The following description of the Common Stock is a summary and does not purport to be complete. It is subject to and qualified in its entirety by reference to the Company’s Restated Certificate of Incorporation, as amended (the “Certificate of Incorporation”) and the Company’s By-laws, as amended and restated (“By-laws”), each of which are incorporated by reference as an exhibit to the Annual Report on Form 10-K of which this exhibit is a part. We encourage you to read the Company’s Certificate of Incorporation, By-laws and the applicable provisions of the Delaware General Corporation Law (the “DGCL”) for additional information.</w:t>
      </w:r>
    </w:p>
    <w:p>
      <w:pPr>
        <w:spacing w:after="0" w:line="11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b w:val="1"/>
          <w:bCs w:val="1"/>
          <w:color w:val="auto"/>
        </w:rPr>
        <w:t>Authorized Capital Stock</w:t>
      </w:r>
      <w:r>
        <w:rPr>
          <w:rFonts w:ascii="Times New Roman" w:cs="Times New Roman" w:eastAsia="Times New Roman" w:hAnsi="Times New Roman"/>
          <w:sz w:val="16"/>
          <w:szCs w:val="16"/>
          <w:color w:val="auto"/>
        </w:rPr>
        <w:t>: The Company’s authorized capital stock consists of: 2,050,262,150 shares, divided into 250,000 shares of Preferred Stock without par value (“Preferred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12,150 shares of $3.00 Convertible Second Preferred Stock without par value (“$3.00 Convertible Second Preferred Stock”), 50,000,000 shares of Preference Stock without par value (“Preference Stock”) and 2,000,000,000 shares of Common Stock. There are no shares of Preferred Stock, $3.00 Convertible Second Preferred Stock or Preference Stock issued and outstanding. The outstanding shares of our Common Stock are fully paid and non-assessable.</w:t>
      </w:r>
    </w:p>
    <w:p>
      <w:pPr>
        <w:spacing w:after="0" w:line="119"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6"/>
          <w:szCs w:val="16"/>
          <w:b w:val="1"/>
          <w:bCs w:val="1"/>
          <w:color w:val="auto"/>
        </w:rPr>
        <w:t xml:space="preserve">Voting Rights: </w:t>
      </w:r>
      <w:r>
        <w:rPr>
          <w:rFonts w:ascii="Times New Roman" w:cs="Times New Roman" w:eastAsia="Times New Roman" w:hAnsi="Times New Roman"/>
          <w:sz w:val="16"/>
          <w:szCs w:val="16"/>
          <w:color w:val="auto"/>
        </w:rPr>
        <w:t>The holders of Common Stock are entitled to one vote per share on all matters voted on by the stockholders, including the election of directors. Holders of 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are not entitled to cumulative voting rights.</w:t>
      </w:r>
    </w:p>
    <w:p>
      <w:pPr>
        <w:spacing w:after="0" w:line="109"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Dividend Rights: </w:t>
      </w:r>
      <w:r>
        <w:rPr>
          <w:rFonts w:ascii="Times New Roman" w:cs="Times New Roman" w:eastAsia="Times New Roman" w:hAnsi="Times New Roman"/>
          <w:sz w:val="16"/>
          <w:szCs w:val="16"/>
          <w:color w:val="auto"/>
        </w:rPr>
        <w:t>Subject to the rights of holders of outstanding shares of Preferred Stock and the $3.00 Convertible Second Preferred Stock, if any, the holders of Common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entitled to receive dividends, if any, as may be declared from time to time by the Company’s Board of Directors in its discretion out of funds legally available for the payment of dividends.</w:t>
      </w:r>
    </w:p>
    <w:p>
      <w:pPr>
        <w:spacing w:after="0" w:line="11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Board of Directors: </w:t>
      </w:r>
      <w:r>
        <w:rPr>
          <w:rFonts w:ascii="Times New Roman" w:cs="Times New Roman" w:eastAsia="Times New Roman" w:hAnsi="Times New Roman"/>
          <w:sz w:val="16"/>
          <w:szCs w:val="16"/>
          <w:color w:val="auto"/>
        </w:rPr>
        <w:t>The Company’s Board of Directors is not classified and each member is elected annually by majority vote in uncontested elections. Under the Company’s by-laws, in uncontested elections for directors, if a nominee for director who is an incumbent director is not re-elected by a majority of the votes cast, the by-laws require the director to promptly tender his or her resignation to the Board of Directors. The Nominating, Governance and Corporate Responsibility Committee will then consider the resignation and make a recommendation to the Board of Directors. Stockholders do not have cumulative voting rights in the elections of directors.</w:t>
      </w:r>
    </w:p>
    <w:p>
      <w:pPr>
        <w:sectPr>
          <w:pgSz w:w="11900" w:h="16838" w:orient="portrait"/>
          <w:cols w:equalWidth="0" w:num="1">
            <w:col w:w="11280"/>
          </w:cols>
          <w:pgMar w:left="300" w:top="1148" w:right="319" w:bottom="1440" w:gutter="0" w:footer="0" w:header="0"/>
        </w:sectPr>
      </w:pPr>
    </w:p>
    <w:bookmarkStart w:id="128" w:name="page129"/>
    <w:bookmarkEnd w:id="128"/>
    <w:p>
      <w:pPr>
        <w:ind w:right="10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Liquidation Rights: </w:t>
      </w:r>
      <w:r>
        <w:rPr>
          <w:rFonts w:ascii="Times New Roman" w:cs="Times New Roman" w:eastAsia="Times New Roman" w:hAnsi="Times New Roman"/>
          <w:sz w:val="16"/>
          <w:szCs w:val="16"/>
          <w:color w:val="auto"/>
        </w:rPr>
        <w:t>Subject to the preferential rights of the Preferred Stock and the $3.00 Convertible Second Preferred Stock, all the remaining assets of the Company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belong to and be distributable among the holders of Common Stock, except to the extent, if any, that the holders of Preferred Stock of any series or Preference Stock of any series may be entitled to participate therein.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Other Rights and Preferences: </w:t>
      </w:r>
      <w:r>
        <w:rPr>
          <w:rFonts w:ascii="Times New Roman" w:cs="Times New Roman" w:eastAsia="Times New Roman" w:hAnsi="Times New Roman"/>
          <w:sz w:val="16"/>
          <w:szCs w:val="16"/>
          <w:color w:val="auto"/>
        </w:rPr>
        <w:t>The Common Stock has no sinking fund or redemption provisions or preemptive, conversion or exchange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Anti-takeover Provisions of the Certificate of Incorporation, By-laws and Delaware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provisions of the Company’s Certificate of Incorporation, By-laws described below may have the effect of delaying, deferring or preventing a change of control of the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66" w:lineRule="exact"/>
        <w:rPr>
          <w:sz w:val="20"/>
          <w:szCs w:val="20"/>
          <w:color w:val="auto"/>
        </w:rPr>
      </w:pPr>
    </w:p>
    <w:p>
      <w:pPr>
        <w:ind w:left="520" w:hanging="260"/>
        <w:spacing w:after="0" w:line="269" w:lineRule="auto"/>
        <w:tabs>
          <w:tab w:leader="none" w:pos="511" w:val="left"/>
        </w:tabs>
        <w:numPr>
          <w:ilvl w:val="0"/>
          <w:numId w:val="40"/>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 is incorporated in Delaware and is thus subject to the provisions of the DGCL, including Section 203 of the DGCL regarding business combinations with an interested stockholder.</w:t>
      </w:r>
    </w:p>
    <w:p>
      <w:pPr>
        <w:ind w:left="520" w:right="420" w:hanging="260"/>
        <w:spacing w:after="0" w:line="286" w:lineRule="auto"/>
        <w:tabs>
          <w:tab w:leader="none" w:pos="511" w:val="left"/>
        </w:tabs>
        <w:numPr>
          <w:ilvl w:val="0"/>
          <w:numId w:val="40"/>
        </w:numPr>
        <w:rPr>
          <w:rFonts w:ascii="Arial" w:cs="Arial" w:eastAsia="Arial" w:hAnsi="Arial"/>
          <w:sz w:val="16"/>
          <w:szCs w:val="16"/>
          <w:color w:val="auto"/>
        </w:rPr>
      </w:pPr>
      <w:r>
        <w:rPr>
          <w:rFonts w:ascii="Times New Roman" w:cs="Times New Roman" w:eastAsia="Times New Roman" w:hAnsi="Times New Roman"/>
          <w:sz w:val="16"/>
          <w:szCs w:val="16"/>
          <w:color w:val="auto"/>
        </w:rPr>
        <w:t>Additional shares Common Stock, Preferred Stock, $3.00 Convertible Second Preferred Stock or Preference Stock are available for issuance under our Certificate of Incorporation which under certain circumstances and with such terms and conditions as to impede a change of control.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Listing</w:t>
      </w:r>
      <w:r>
        <w:rPr>
          <w:rFonts w:ascii="Times New Roman" w:cs="Times New Roman" w:eastAsia="Times New Roman" w:hAnsi="Times New Roman"/>
          <w:sz w:val="16"/>
          <w:szCs w:val="16"/>
          <w:color w:val="auto"/>
        </w:rPr>
        <w:t>: The Common Stock is traded on the New York Stock Exchange under the trading symbol “CL.”</w:t>
      </w:r>
    </w:p>
    <w:p>
      <w:pPr>
        <w:sectPr>
          <w:pgSz w:w="11900" w:h="16838" w:orient="portrait"/>
          <w:cols w:equalWidth="0" w:num="1">
            <w:col w:w="11160"/>
          </w:cols>
          <w:pgMar w:left="300" w:top="1148" w:right="4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Notes</w:t>
      </w:r>
    </w:p>
    <w:p>
      <w:pPr>
        <w:spacing w:after="0" w:line="16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following description of the 2026 Notes, 2029 Notes, 2034 Notes and 2039 Notes is a summary and does not purport to be complete. It is subject to and qualified in its entirety by reference to the Indenture, dated as of November 15, 1992, between the Company and The Bank of New York Mellon (formerly known as The Bank of New York), as Trustee (as amended through the date hereof, the “Indenture”), which is filed as an exhibit to this Annual Report on Form 10-K and, as applicable, to the form 2039 Notes, which is filed as an exhibit to the Form 8-A filed with the Securities and Exchange Commission (“SEC”) on November 12, 2019, to the forms of the 2026 Notes and the 2034 Notes, which are filed as exhibits to the Form 8-A filed with the SEC on March 6, 2019 and to the form of the 2029 Notes, which is filed as an exhibit to the Form 8-K filed with the SEC on November 10, 2021. The 2026 Notes, 2029 Notes, 2034 Notes and 2039 Notes are traded on The New York Stock Exchange under the bond trading symbols of “CL26,” “CL29,” “CL34” and “CL39,”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Notes</w:t>
      </w:r>
    </w:p>
    <w:p>
      <w:pPr>
        <w:spacing w:after="0" w:line="1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6"/>
          <w:szCs w:val="16"/>
          <w:color w:val="auto"/>
        </w:rPr>
        <w:t>The Notes were issued under the Indenture, which provides that debt securities may be issued under the Indenture from time to time in one or more series. The Indenture does not limit the amount of debt, secured or unsecured, which the Company can issue. The Notes are unsecured and rank equally with our other unsecured and unsubordinated indebtedness of the Company from time to time outstanding. The Company may issue additional debt securities at any time without your consent.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2026 Notes</w:t>
      </w:r>
    </w:p>
    <w:p>
      <w:pPr>
        <w:spacing w:after="0" w:line="1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6"/>
          <w:szCs w:val="16"/>
          <w:color w:val="auto"/>
        </w:rPr>
        <w:t>The Company issued €500,000,000 aggregate principal amount of the 2026 Notes on March 6, 2019. Interest on the Notes at a rate of 0.500% per annum is payable annually in arrears on March 6 of each year, commencing March 6, 2020. Unless earlier redeemed, the 2026 Notes will mature on March 6, 2026. As of February 16, 2023, €500,000,000 aggregate principal amount of the 2026 Notes was outstanding.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2029 Notes</w:t>
      </w:r>
    </w:p>
    <w:p>
      <w:pPr>
        <w:spacing w:after="0" w:line="1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The Company issued €500,000,000 aggregate principal amount of the 2029 Notes on November 10, 2021. Interest on the Notes at a rate of 0.300% per annum is payable annually in arrears on November 10 of each year, commencing November 10, 2022. Unless earlier redeemed, the 2029 Notes will mature on November 10, 2029. As of February 16, 2023, €500,000,000 aggregate principal amount of the 2029 Notes was outstanding.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2034 Notes</w:t>
      </w:r>
    </w:p>
    <w:p>
      <w:pPr>
        <w:spacing w:after="0" w:line="15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6"/>
          <w:szCs w:val="16"/>
          <w:color w:val="auto"/>
        </w:rPr>
        <w:t>The Company issued €500,000,000 aggregate principal amount of the 2034 Notes on March 6, 2019. Interest on the Notes at a rate of 1.375% per annum is payable annually in arrears on March 6 of each year, commencing March 6, 2020. Unless earlier redeemed, the 2034 Notes will mature on March 6, 2034. As of February 16, 2023, €500,000,000 aggregate principal amount of the 2034 Notes was outstanding.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2039 Notes</w:t>
      </w:r>
    </w:p>
    <w:p>
      <w:pPr>
        <w:spacing w:after="0" w:line="168"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The Company issued €500,000,000 aggregate principal amount of the 2039 Notes on November 12, 2019. Interest on the Notes at a rate of 0.875% per annum is payable annually in arrears on November 12 of each year,</w:t>
      </w:r>
    </w:p>
    <w:p>
      <w:pPr>
        <w:sectPr>
          <w:pgSz w:w="11900" w:h="16838" w:orient="portrait"/>
          <w:cols w:equalWidth="0" w:num="1">
            <w:col w:w="11280"/>
          </w:cols>
          <w:pgMar w:left="300" w:top="1148" w:right="319" w:bottom="1440" w:gutter="0" w:footer="0" w:header="0"/>
        </w:sectPr>
      </w:pPr>
    </w:p>
    <w:bookmarkStart w:id="130" w:name="page131"/>
    <w:bookmarkEnd w:id="130"/>
    <w:p>
      <w:pPr>
        <w:ind w:right="60"/>
        <w:spacing w:after="0" w:line="301" w:lineRule="auto"/>
        <w:rPr>
          <w:sz w:val="20"/>
          <w:szCs w:val="20"/>
          <w:color w:val="auto"/>
        </w:rPr>
      </w:pPr>
      <w:r>
        <w:rPr>
          <w:rFonts w:ascii="Times New Roman" w:cs="Times New Roman" w:eastAsia="Times New Roman" w:hAnsi="Times New Roman"/>
          <w:sz w:val="16"/>
          <w:szCs w:val="16"/>
          <w:color w:val="auto"/>
        </w:rPr>
        <w:t>commencing November 12, 2020. Unless earlier redeemed, the 2039 Notes will mature on November 12, 2039. As of February 16, 2023, €500,000,000 aggregate principal amount of the 2039 Notes was outstanding.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and Interest Rates</w:t>
      </w:r>
    </w:p>
    <w:p>
      <w:pPr>
        <w:spacing w:after="0" w:line="168"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4"/>
          <w:szCs w:val="14"/>
          <w:color w:val="auto"/>
        </w:rPr>
        <w:t>Each interest-bearing note will bear interest from the date of issue at the rate per annum or, in the case of a floating rate note, pursuant to the interest rate formula, stated in the applicable note until the principal of the note is paid or made available for payment. Interest payments on the notes will equal the amount of interest accrued from and including the immediately preceding interest payment date in respect of which interest has been paid or made available for payment or from and including the date of issue, if no interest has been paid or made available for payment with respect to the note, to, but excluding, the related interest payment date or the applicable Maturity Date, as the case may be.</w:t>
      </w:r>
    </w:p>
    <w:p>
      <w:pPr>
        <w:spacing w:after="0" w:line="7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We will pay interest in arrears on each interest payment date specified in the applicable note on which an installment of interest is due and payable and on the applicable Maturity Date. We will pay interest to the persons in whose names the notes are registered as of the regular record date. However, interest that we pay on the applicable Maturity Date, if any, will be payable to the persons to whom the principal will be payable. If any note is originally issued between a regular record date and the related interest payment date, we will make the first payment of interest on that note on the interest payment date immediately following the next succeeding regular record date to the registered holder on that next succeeding regular record date. The regular record date will be the fifteenth calendar day, whether or not a Business Day (as defined in the applicable Note), immediately preceding the related interest payment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Issuance in Euro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and interest payments in respect of the Notes and additional amounts, if any, will be payable in euro.</w:t>
      </w:r>
    </w:p>
    <w:p>
      <w:pPr>
        <w:spacing w:after="0" w:line="156" w:lineRule="exact"/>
        <w:rPr>
          <w:sz w:val="20"/>
          <w:szCs w:val="20"/>
          <w:color w:val="auto"/>
        </w:rPr>
      </w:pPr>
    </w:p>
    <w:p>
      <w:pPr>
        <w:ind w:right="20"/>
        <w:spacing w:after="0" w:line="323" w:lineRule="auto"/>
        <w:rPr>
          <w:sz w:val="20"/>
          <w:szCs w:val="20"/>
          <w:color w:val="auto"/>
        </w:rPr>
      </w:pPr>
      <w:r>
        <w:rPr>
          <w:rFonts w:ascii="Times New Roman" w:cs="Times New Roman" w:eastAsia="Times New Roman" w:hAnsi="Times New Roman"/>
          <w:sz w:val="14"/>
          <w:szCs w:val="14"/>
          <w:color w:val="auto"/>
        </w:rPr>
        <w:t>If euro is unavailable to us due to the imposition of exchange controls or other circumstances beyond our control or the euro is no longer used by the member states of the European Monetary Union that have adopted the euro as their currency or for the settlement of transactions by public institutions within the international banking community, then all payments in respect of the Notes will be made in U.S. dollars until euro is again available to us or so used. The amount payable on any date in euro will be converted to U.S. dollars on the basis of the Market Exchange Rate (as defined below). Any payment in respect of the Notes so made in U.S. dollars will not constitute an event of default under the Indenture. Neither the Trustee nor the London Paying Agent shall be responsible for obtaining exchange rates, effecting conversions or otherwise handling redenominations.</w:t>
      </w:r>
    </w:p>
    <w:p>
      <w:pPr>
        <w:spacing w:after="0" w:line="92"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Market Exchange Rate</w:t>
      </w:r>
      <w:r>
        <w:rPr>
          <w:rFonts w:ascii="Times New Roman" w:cs="Times New Roman" w:eastAsia="Times New Roman" w:hAnsi="Times New Roman"/>
          <w:sz w:val="16"/>
          <w:szCs w:val="16"/>
          <w:color w:val="auto"/>
        </w:rPr>
        <w:t>” means the rate mandated by the U.S. Federal Reserve Board as of the close of business on the second Business Day prior to the relevant payment date or, in the event the U.S. Federal Reserve Board has not mandated a rate of conversion, on the basis of the most recent euro/U.S. dollar exchange rate available on or prior to the second Business Day prior to the relevant payment date, as reported by Bloomberg.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Optional Redemption</w:t>
      </w:r>
    </w:p>
    <w:p>
      <w:pPr>
        <w:spacing w:after="0" w:line="16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Prior to the applicable Par Call Date (as defined below), the Notes may be redeemed at our option, at any time, in whole, or from time to time, in part, at a redemption price equal to the greater of:</w:t>
      </w:r>
    </w:p>
    <w:p>
      <w:pPr>
        <w:sectPr>
          <w:pgSz w:w="11900" w:h="16838" w:orient="portrait"/>
          <w:cols w:equalWidth="0" w:num="1">
            <w:col w:w="11240"/>
          </w:cols>
          <w:pgMar w:left="300" w:top="1150" w:right="359" w:bottom="1440" w:gutter="0" w:footer="0" w:header="0"/>
        </w:sectPr>
      </w:pPr>
    </w:p>
    <w:bookmarkStart w:id="131" w:name="page132"/>
    <w:bookmarkEnd w:id="131"/>
    <w:p>
      <w:pPr>
        <w:ind w:left="500" w:hanging="240"/>
        <w:spacing w:after="0"/>
        <w:tabs>
          <w:tab w:leader="none" w:pos="500" w:val="left"/>
        </w:tabs>
        <w:numPr>
          <w:ilvl w:val="0"/>
          <w:numId w:val="41"/>
        </w:numPr>
        <w:rPr>
          <w:rFonts w:ascii="Arial" w:cs="Arial" w:eastAsia="Arial" w:hAnsi="Arial"/>
          <w:sz w:val="16"/>
          <w:szCs w:val="16"/>
          <w:color w:val="auto"/>
        </w:rPr>
      </w:pPr>
      <w:r>
        <w:rPr>
          <w:rFonts w:ascii="Times New Roman" w:cs="Times New Roman" w:eastAsia="Times New Roman" w:hAnsi="Times New Roman"/>
          <w:sz w:val="16"/>
          <w:szCs w:val="16"/>
          <w:color w:val="auto"/>
        </w:rPr>
        <w:t>100% of the principal amount of the Notes to be redeemed; or</w:t>
      </w:r>
    </w:p>
    <w:p>
      <w:pPr>
        <w:spacing w:after="0" w:line="27" w:lineRule="exact"/>
        <w:rPr>
          <w:rFonts w:ascii="Arial" w:cs="Arial" w:eastAsia="Arial" w:hAnsi="Arial"/>
          <w:sz w:val="16"/>
          <w:szCs w:val="16"/>
          <w:color w:val="auto"/>
        </w:rPr>
      </w:pPr>
    </w:p>
    <w:p>
      <w:pPr>
        <w:ind w:left="520" w:right="60" w:hanging="260"/>
        <w:spacing w:after="0" w:line="275" w:lineRule="auto"/>
        <w:tabs>
          <w:tab w:leader="none" w:pos="511" w:val="left"/>
        </w:tabs>
        <w:numPr>
          <w:ilvl w:val="0"/>
          <w:numId w:val="41"/>
        </w:numPr>
        <w:rPr>
          <w:rFonts w:ascii="Arial" w:cs="Arial" w:eastAsia="Arial" w:hAnsi="Arial"/>
          <w:sz w:val="16"/>
          <w:szCs w:val="16"/>
          <w:color w:val="auto"/>
        </w:rPr>
      </w:pPr>
      <w:r>
        <w:rPr>
          <w:rFonts w:ascii="Times New Roman" w:cs="Times New Roman" w:eastAsia="Times New Roman" w:hAnsi="Times New Roman"/>
          <w:sz w:val="16"/>
          <w:szCs w:val="16"/>
          <w:color w:val="auto"/>
        </w:rPr>
        <w:t>the sum of the present values of the remaining scheduled payments of principal and interest on the Notes being redeemed assuming that the Notes being redeemed matured on the applicable Par Call Date (not including any portion of any payments of interest accrued to the redemption date), discounted to the redemption date on an annual basis (ACTUAL/ACTUAL (ICMA)) at the applicable Comparable Government Bond Rate (as defined below), plus 15 basis points, in the case of the 2026 Notes, plus 10 basis points, in the case of the 2029 Notes, plus 20 basis points, in the case of the 2034 Notes or the 2039 Notes.</w:t>
      </w:r>
    </w:p>
    <w:p>
      <w:pPr>
        <w:spacing w:after="0" w:line="12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6"/>
          <w:szCs w:val="16"/>
          <w:color w:val="auto"/>
        </w:rPr>
        <w:t>On or after the applicable Par Call Date, the Notes may be redeemed at our option, at any time, in whole, or from time to time, in part, at a redemption price equal to 100% of the principal amount of the Notes being redeemed.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each case, we will pay accrued and unpaid interest on the principal amount being redeemed to, but not including, the redemption date.</w:t>
      </w:r>
    </w:p>
    <w:p>
      <w:pPr>
        <w:spacing w:after="0" w:line="16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6"/>
          <w:szCs w:val="16"/>
          <w:color w:val="auto"/>
        </w:rPr>
        <w:t>Notwithstanding the foregoing, installments of interest on Notes being redeemed that are due and payable on interest payment dates falling on or prior to a redemption date will be payable on the interest payment date to the holders as of the close of business on the relevant record date according to the Notes and the Indenture.</w:t>
      </w:r>
    </w:p>
    <w:p>
      <w:pPr>
        <w:spacing w:after="0" w:line="110" w:lineRule="exact"/>
        <w:rPr>
          <w:sz w:val="20"/>
          <w:szCs w:val="20"/>
          <w:color w:val="auto"/>
        </w:rPr>
      </w:pPr>
    </w:p>
    <w:p>
      <w:pPr>
        <w:ind w:right="120"/>
        <w:spacing w:after="0" w:line="332" w:lineRule="auto"/>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i w:val="1"/>
          <w:iCs w:val="1"/>
          <w:color w:val="auto"/>
        </w:rPr>
        <w:t>Comparable Government Bond Rate</w:t>
      </w:r>
      <w:r>
        <w:rPr>
          <w:rFonts w:ascii="Times New Roman" w:cs="Times New Roman" w:eastAsia="Times New Roman" w:hAnsi="Times New Roman"/>
          <w:sz w:val="14"/>
          <w:szCs w:val="14"/>
          <w:color w:val="auto"/>
        </w:rPr>
        <w:t>” will be determined by the Calculation Agent on the third Business Day preceding the redemption date and means, with respect to any date of redemption, the rate per annum equal to the yield to maturity calculated in accordance with customary financial practice in pricing new issues of comparable corporate debt securities paying interest on an annual basis (ACTUAL/ACTUAL (ICMA)) of the applicable Comparable Government Bond, assuming a price for the applicable Comparable Government Bond (expressed as a percentage of its principal amount) equal to the applicable Comparable Government Bond Price for such date of redemption.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Calculation Agent</w:t>
      </w:r>
      <w:r>
        <w:rPr>
          <w:rFonts w:ascii="Times New Roman" w:cs="Times New Roman" w:eastAsia="Times New Roman" w:hAnsi="Times New Roman"/>
          <w:sz w:val="16"/>
          <w:szCs w:val="16"/>
          <w:color w:val="auto"/>
        </w:rPr>
        <w:t>” means an independent investment banking or commercial banking institution of international standing appointed by us.</w:t>
      </w:r>
    </w:p>
    <w:p>
      <w:pPr>
        <w:spacing w:after="0" w:line="15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Comparable Government Bond</w:t>
      </w:r>
      <w:r>
        <w:rPr>
          <w:rFonts w:ascii="Times New Roman" w:cs="Times New Roman" w:eastAsia="Times New Roman" w:hAnsi="Times New Roman"/>
          <w:sz w:val="16"/>
          <w:szCs w:val="16"/>
          <w:color w:val="auto"/>
        </w:rPr>
        <w:t>” means the Federal Republic of Germany government security or securities selected by one of the Reference Government Bond Dealers appointed by us as having an actual or interpolated maturity comparable with the remaining term of the applicable tranche of Notes assuming such tranche matured on the applicable Par Call Date that would be utilized, at the time of selection and in accordance with customary financial practice, in pricing new issues of euro-denominated corporate debt securities of a maturity comparable to the remaining term of such tranche of Notes assuming such tranche matured on the applicable Par Call Date.</w:t>
      </w:r>
    </w:p>
    <w:p>
      <w:pPr>
        <w:spacing w:after="0" w:line="1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Comparable Government Bond Price</w:t>
      </w:r>
      <w:r>
        <w:rPr>
          <w:rFonts w:ascii="Times New Roman" w:cs="Times New Roman" w:eastAsia="Times New Roman" w:hAnsi="Times New Roman"/>
          <w:sz w:val="16"/>
          <w:szCs w:val="16"/>
          <w:color w:val="auto"/>
        </w:rPr>
        <w:t>” means, with respect to any redemption date, (A) the arithmetic average of the Reference Government Bond Dealer Quotations for such redemption date, after excluding the highest and lowest such Reference Government Bond Dealer Quotations, or (B) if the Calculation Agent obtains fewer than four such Reference Government Bond Dealer Quotations, the arithmetic average of all such quotations.</w:t>
      </w:r>
    </w:p>
    <w:p>
      <w:pPr>
        <w:spacing w:after="0" w:line="11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Par Call Date</w:t>
      </w:r>
      <w:r>
        <w:rPr>
          <w:rFonts w:ascii="Times New Roman" w:cs="Times New Roman" w:eastAsia="Times New Roman" w:hAnsi="Times New Roman"/>
          <w:sz w:val="16"/>
          <w:szCs w:val="16"/>
          <w:color w:val="auto"/>
        </w:rPr>
        <w:t>” means (i) with respect to the 2026 Notes, January 6, 2026 (two months prior to the maturity date of the 2026 Notes), (ii) with respect to the 2029 Notes, August 10, 2029 (three prior to the maturity date of the 2029 Notes), (iii) with respect to the 2034 Notes, December 6, 2033 (three months prior to the maturity date of the</w:t>
      </w:r>
    </w:p>
    <w:p>
      <w:pPr>
        <w:sectPr>
          <w:pgSz w:w="11900" w:h="16838" w:orient="portrait"/>
          <w:cols w:equalWidth="0" w:num="1">
            <w:col w:w="11280"/>
          </w:cols>
          <w:pgMar w:left="300" w:top="1150"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color w:val="auto"/>
        </w:rPr>
        <w:t>2034 Notes) and (iv) with respect to the 2039 Notes, May 12, 2039 (six months prior to the maturity date of the 2039 Notes).</w:t>
      </w:r>
    </w:p>
    <w:p>
      <w:pPr>
        <w:spacing w:after="0" w:line="164"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Reference Government Bond Dealer</w:t>
      </w:r>
      <w:r>
        <w:rPr>
          <w:rFonts w:ascii="Times New Roman" w:cs="Times New Roman" w:eastAsia="Times New Roman" w:hAnsi="Times New Roman"/>
          <w:sz w:val="16"/>
          <w:szCs w:val="16"/>
          <w:color w:val="auto"/>
        </w:rPr>
        <w:t>” means each of four banks selected by us, which are (A) primary European government securities dealers, and their respective successors, or (B) market makers in pricing corporate bond issues.</w:t>
      </w:r>
    </w:p>
    <w:p>
      <w:pPr>
        <w:spacing w:after="0" w:line="10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Reference Government Bond Dealer Quotations</w:t>
      </w:r>
      <w:r>
        <w:rPr>
          <w:rFonts w:ascii="Times New Roman" w:cs="Times New Roman" w:eastAsia="Times New Roman" w:hAnsi="Times New Roman"/>
          <w:sz w:val="16"/>
          <w:szCs w:val="16"/>
          <w:color w:val="auto"/>
        </w:rPr>
        <w:t>” means, with respect to each Reference Government Bond Dealer and any redemption date, the arithmetic average, as determined by the Calculation Agent, of the bid and offered prices for the applicable Comparable Government Bond (expressed in each case as a percentage of its principal amount) at 11:00 a.m., Central European Time (CET), on the third Business Day preceding such date for redemption quoted in writing to the Calculation Agent by such Reference Government Bond Dealer.</w:t>
      </w:r>
    </w:p>
    <w:p>
      <w:pPr>
        <w:spacing w:after="0" w:line="10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Notice of redemption will be mailed at least 15 days (or in the case of the 2029 Notes, 10 days) but not more than 60 days before the redemption date to each holder of record of the applicable Notes to be redeemed at its registered address, provided that while the applicable Notes are represented by one or more global Notes, notice of redemption may, at our option, instead be given to holders of applicable Notes (and beneficial interests therein) in accordance with the applicable rules and regulations of Euroclear and Clearstream. The notice of redemption for the applicable Notes will state, among other things, the amount of the applicable Notes to be redeemed, the redemption date, and the redemption price and the place or places that payment will be made upon presentation and surrender of the applicable Notes to be redeemed. Unless we default in the payment of the redemption price, interest will cease to accrue on any Notes that have been called for redemption at the redemption date. If less than all of the applicable Notes of a tranche are to be redeemed, the Notes of such tranche to be redeemed will be selected in accordance with applicable depositary procedures; provided, however, that no Notes of a principal amount of €100,000 or less shall be redeemed in part.</w:t>
      </w:r>
    </w:p>
    <w:p>
      <w:pPr>
        <w:spacing w:after="0" w:line="1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The Notes are also subject to redemption prior to maturity if certain changes in U.S. tax law occur. If such changes occur, the Notes may be redeemed at a redemption price of 100% of their principal amount plus accrued and unpaid interest to the date of redemption. See “—Redemption for Tax Reasons.”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Redemption for Tax Reasons</w:t>
      </w:r>
    </w:p>
    <w:p>
      <w:pPr>
        <w:spacing w:after="0" w:line="1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If we have or will become obliged to pay additional amounts (as described below under the heading “—Payment of Additional Amounts”) as a result of any change in, or amendment to, the laws or regulations of the United States or any political subdivision or taxing authority thereof or therein affecting taxation, or any change in official position regarding the application or interpretation of such laws, regulations or rulings, which change or amendment becomes effective on or after the date of the applicable pricing supplement or prospectus supplement, and we determine that such obligation cannot be avoided by the use of reasonable measures then available to us, we may, at our option, at any time, having giving not less than 15 days (or in the case of the 2029 Notes, 10 days) nor more than 60 days’ prior written notice to Holders, redeem, in whole, but not in part, the the 2026 Notes, the 2029 Notes, the 2034 Notes or the 2039 Notes at a redemption price equal to 100% of their principal amount, together with unpaid interest, if any, on the Notes being redeemed accrued to but excluding the redemption date, provided that no such notice of redemption shall be given earlier than 90 days prior to the earliest date on which we would be obliged to pay such additional amounts if a payment in respect to the applicable tranche of Notes were due on such date. Prior to the transmission or publication of such a notice of redemption, we shall deliver to the Trustee a</w:t>
      </w:r>
    </w:p>
    <w:p>
      <w:pPr>
        <w:sectPr>
          <w:pgSz w:w="11900" w:h="16838" w:orient="portrait"/>
          <w:cols w:equalWidth="0" w:num="1">
            <w:col w:w="11260"/>
          </w:cols>
          <w:pgMar w:left="300" w:top="1150" w:right="339" w:bottom="1440" w:gutter="0" w:footer="0" w:header="0"/>
        </w:sectPr>
      </w:pPr>
    </w:p>
    <w:bookmarkStart w:id="133" w:name="page134"/>
    <w:bookmarkEnd w:id="133"/>
    <w:p>
      <w:pPr>
        <w:ind w:right="160"/>
        <w:spacing w:after="0" w:line="301" w:lineRule="auto"/>
        <w:rPr>
          <w:sz w:val="20"/>
          <w:szCs w:val="20"/>
          <w:color w:val="auto"/>
        </w:rPr>
      </w:pPr>
      <w:r>
        <w:rPr>
          <w:rFonts w:ascii="Times New Roman" w:cs="Times New Roman" w:eastAsia="Times New Roman" w:hAnsi="Times New Roman"/>
          <w:sz w:val="16"/>
          <w:szCs w:val="16"/>
          <w:color w:val="auto"/>
        </w:rPr>
        <w:t>certificate signed by two executive officers of the Company stating that we are entitled to effect such redemption and setting forth a statement of facts showing that the conditions precedent to our right to so redeem the Notes has occurred.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Payment of Additional Amounts</w:t>
      </w:r>
    </w:p>
    <w:p>
      <w:pPr>
        <w:spacing w:after="0" w:line="168"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We will, subject to the exceptions and limitations set forth below, pay as additional amounts to a holder of a Note that is a United States Alien (as defined below) such amounts as may be necessary so that every net payment on such Note after deduction or withholding for or on account of any present or future tax, assessment or other governmental charge of whatever nature imposed upon or as a result of such payment by the United States (or any political subdivision or taxing authority thereof or therein), will not be less than the amount provided for in such Note to be then due and payable. However, we will not be required to make any payment of additional amounts for or on account of:</w:t>
      </w:r>
    </w:p>
    <w:p>
      <w:pPr>
        <w:spacing w:after="0" w:line="77" w:lineRule="exact"/>
        <w:rPr>
          <w:sz w:val="20"/>
          <w:szCs w:val="20"/>
          <w:color w:val="auto"/>
        </w:rPr>
      </w:pPr>
    </w:p>
    <w:p>
      <w:pPr>
        <w:ind w:left="520" w:right="40" w:hanging="260"/>
        <w:spacing w:after="0" w:line="270" w:lineRule="auto"/>
        <w:tabs>
          <w:tab w:leader="none" w:pos="42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assessment or other governmental charge that would not have been imposed but for (i) the existence of any present or former connection between such holder (or between a fiduciary, settlor or beneficiary of, or a person holding a power over, such holder, if such holder is an estate or a trust, or a member or shareholder of such holder, if such holder is a partnership or corporation) and the United States, including, without limitation, such holder (or such fiduciary, settlor, beneficiary, person holding a power, member or shareholder) being or having been a citizen or resident or treated as a resident thereof or being or having been engaged in trade or business or present therein or having or having had a permanent establishment therein, or (ii) the presentation by the holder of a Note for payment more than 15 days after the date on which such payment became due and payable or on which payment thereof was duly provided for, whichever occurs later;</w:t>
      </w:r>
    </w:p>
    <w:p>
      <w:pPr>
        <w:ind w:left="420" w:hanging="160"/>
        <w:spacing w:after="0"/>
        <w:tabs>
          <w:tab w:leader="none" w:pos="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estate, inheritance, gift, sales, transfer, personal property or any similar tax, assessment or other governmental charge;</w:t>
      </w:r>
    </w:p>
    <w:p>
      <w:pPr>
        <w:spacing w:after="0" w:line="27" w:lineRule="exact"/>
        <w:rPr>
          <w:rFonts w:ascii="Times New Roman" w:cs="Times New Roman" w:eastAsia="Times New Roman" w:hAnsi="Times New Roman"/>
          <w:sz w:val="16"/>
          <w:szCs w:val="16"/>
          <w:color w:val="auto"/>
        </w:rPr>
      </w:pPr>
    </w:p>
    <w:p>
      <w:pPr>
        <w:ind w:left="520" w:right="160" w:hanging="260"/>
        <w:spacing w:after="0" w:line="272" w:lineRule="auto"/>
        <w:tabs>
          <w:tab w:leader="none" w:pos="42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assessment or other governmental charge that would not have been imposed but for such holder’s past or present status as a controlled foreign corporation, passive foreign investment company (including a qualified election fund) or foreign private foundation or other tax exempt organization with respect to the United States or as a corporation that accumulates earnings to avoid United States Federal income tax;</w:t>
      </w:r>
    </w:p>
    <w:p>
      <w:pPr>
        <w:ind w:left="420" w:hanging="160"/>
        <w:spacing w:after="0"/>
        <w:tabs>
          <w:tab w:leader="none" w:pos="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assessment or other governmental charge that is payable otherwise than by deduction or withholding from a payment on a Note;</w:t>
      </w:r>
    </w:p>
    <w:p>
      <w:pPr>
        <w:spacing w:after="0" w:line="18" w:lineRule="exact"/>
        <w:rPr>
          <w:rFonts w:ascii="Times New Roman" w:cs="Times New Roman" w:eastAsia="Times New Roman" w:hAnsi="Times New Roman"/>
          <w:sz w:val="16"/>
          <w:szCs w:val="16"/>
          <w:color w:val="auto"/>
        </w:rPr>
      </w:pPr>
    </w:p>
    <w:p>
      <w:pPr>
        <w:ind w:left="520" w:right="460" w:hanging="260"/>
        <w:spacing w:after="0" w:line="269" w:lineRule="auto"/>
        <w:tabs>
          <w:tab w:leader="none" w:pos="42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assessment or other governmental charge required to be deducted or withheld by any paying agent from any payment on a Note, if such payment can be made without such deduction or withholding by any other paying agent;</w:t>
      </w:r>
    </w:p>
    <w:p>
      <w:pPr>
        <w:spacing w:after="0" w:line="1" w:lineRule="exact"/>
        <w:rPr>
          <w:rFonts w:ascii="Times New Roman" w:cs="Times New Roman" w:eastAsia="Times New Roman" w:hAnsi="Times New Roman"/>
          <w:sz w:val="16"/>
          <w:szCs w:val="16"/>
          <w:color w:val="auto"/>
        </w:rPr>
      </w:pPr>
    </w:p>
    <w:p>
      <w:pPr>
        <w:ind w:left="520" w:hanging="260"/>
        <w:spacing w:after="0" w:line="269" w:lineRule="auto"/>
        <w:tabs>
          <w:tab w:leader="none" w:pos="40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assessment or other governmental charge that would not have been imposed but for the holder’s failure to comply with any applicable certification, information, documentation or other reporting requirement concerning the nationality, residence, identity or connection with the United States of the holder or beneficial owner of a Note if, without regard to any tax treaty, such compliance is required by statute or regulation of the United States as a precondition to relief or exemption from such tax, assessment or other governmental charge;</w:t>
      </w:r>
    </w:p>
    <w:p>
      <w:pPr>
        <w:spacing w:after="0" w:line="2" w:lineRule="exact"/>
        <w:rPr>
          <w:rFonts w:ascii="Times New Roman" w:cs="Times New Roman" w:eastAsia="Times New Roman" w:hAnsi="Times New Roman"/>
          <w:sz w:val="16"/>
          <w:szCs w:val="16"/>
          <w:color w:val="auto"/>
        </w:rPr>
      </w:pPr>
    </w:p>
    <w:p>
      <w:pPr>
        <w:ind w:left="520" w:right="20" w:hanging="260"/>
        <w:spacing w:after="0" w:line="299" w:lineRule="auto"/>
        <w:tabs>
          <w:tab w:leader="none" w:pos="43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assessment or other governmental charge imposed by reason of the holder (i) owning or having owned, directly or indirectly, actually or constructively, 10% or more of the total combined voting power of all classes of stock of the Company entitled to vote, (ii) receiving interest described in Section</w:t>
      </w:r>
    </w:p>
    <w:p>
      <w:pPr>
        <w:sectPr>
          <w:pgSz w:w="11900" w:h="16838" w:orient="portrait"/>
          <w:cols w:equalWidth="0" w:num="1">
            <w:col w:w="11240"/>
          </w:cols>
          <w:pgMar w:left="300" w:top="1150" w:right="359" w:bottom="1440" w:gutter="0" w:footer="0" w:header="0"/>
        </w:sectPr>
      </w:pPr>
    </w:p>
    <w:bookmarkStart w:id="134" w:name="page135"/>
    <w:bookmarkEnd w:id="134"/>
    <w:p>
      <w:pPr>
        <w:ind w:left="520" w:right="200"/>
        <w:spacing w:after="0" w:line="270" w:lineRule="auto"/>
        <w:rPr>
          <w:sz w:val="20"/>
          <w:szCs w:val="20"/>
          <w:color w:val="auto"/>
        </w:rPr>
      </w:pPr>
      <w:r>
        <w:rPr>
          <w:rFonts w:ascii="Times New Roman" w:cs="Times New Roman" w:eastAsia="Times New Roman" w:hAnsi="Times New Roman"/>
          <w:sz w:val="16"/>
          <w:szCs w:val="16"/>
          <w:color w:val="auto"/>
        </w:rPr>
        <w:t>881(c)(3)(A) of the United States Internal Revenue Code or (iii) being a controlled foreign corporation with respect to the United States that is related to the Company by actual or constructive stock ownership;</w:t>
      </w:r>
    </w:p>
    <w:p>
      <w:pPr>
        <w:spacing w:after="0" w:line="1" w:lineRule="exact"/>
        <w:rPr>
          <w:sz w:val="20"/>
          <w:szCs w:val="20"/>
          <w:color w:val="auto"/>
        </w:rPr>
      </w:pPr>
    </w:p>
    <w:p>
      <w:pPr>
        <w:ind w:left="520" w:right="620" w:hanging="260"/>
        <w:spacing w:after="0" w:line="271" w:lineRule="auto"/>
        <w:tabs>
          <w:tab w:leader="none" w:pos="43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assessment or other governmental charge that is imposed on a payment pursuant to Sections 1471 through 1474 of the United States Internal Revenue Code (FATCA), any Treasury regulations and official interpretations thereof, and any regulations or official law, agreement or interpretations thereof implementing an intergovernmental approach thereto; or</w:t>
      </w:r>
    </w:p>
    <w:p>
      <w:pPr>
        <w:spacing w:after="0" w:line="1" w:lineRule="exact"/>
        <w:rPr>
          <w:rFonts w:ascii="Times New Roman" w:cs="Times New Roman" w:eastAsia="Times New Roman" w:hAnsi="Times New Roman"/>
          <w:sz w:val="16"/>
          <w:szCs w:val="16"/>
          <w:color w:val="auto"/>
        </w:rPr>
      </w:pPr>
    </w:p>
    <w:p>
      <w:pPr>
        <w:ind w:left="400" w:hanging="140"/>
        <w:spacing w:after="0"/>
        <w:tabs>
          <w:tab w:leader="none" w:pos="4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items (a), (b), (c), (d), (e), (f) (g) and (h);</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nor shall such additional amounts be paid with respect to any payment on a Note to a holder that is a fiduciary or partnership or other than the sole beneficial owner of such payment to the extent a beneficiary or settlor with respect to such fiduciary or a member of such partnership or a beneficial owner would not have been entitled to the additional amounts had such beneficiary, settlor, member or beneficial owner been the holder of such Note.</w:t>
      </w:r>
    </w:p>
    <w:p>
      <w:pPr>
        <w:spacing w:after="0" w:line="115" w:lineRule="exact"/>
        <w:rPr>
          <w:sz w:val="20"/>
          <w:szCs w:val="20"/>
          <w:color w:val="auto"/>
        </w:rPr>
      </w:pPr>
    </w:p>
    <w:p>
      <w:pPr>
        <w:ind w:right="200"/>
        <w:spacing w:after="0" w:line="378" w:lineRule="auto"/>
        <w:rPr>
          <w:sz w:val="20"/>
          <w:szCs w:val="20"/>
          <w:color w:val="auto"/>
        </w:rPr>
      </w:pPr>
      <w:r>
        <w:rPr>
          <w:rFonts w:ascii="Times New Roman" w:cs="Times New Roman" w:eastAsia="Times New Roman" w:hAnsi="Times New Roman"/>
          <w:sz w:val="14"/>
          <w:szCs w:val="14"/>
          <w:color w:val="auto"/>
        </w:rPr>
        <w:t>For purposes of the foregoing, the holding of or the receipt of any payment with respect to a Note shall not constitute a connection between the holder (or between a fiduciary, settlor, beneficiary, member or shareholder of, or a person having power over, such holder if such holder is an estate, a trust, a partnership or a corporation) and the United States.</w:t>
      </w:r>
    </w:p>
    <w:p>
      <w:pPr>
        <w:spacing w:after="0" w:line="4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i w:val="1"/>
          <w:iCs w:val="1"/>
          <w:color w:val="auto"/>
        </w:rPr>
        <w:t>United States Alien</w:t>
      </w:r>
      <w:r>
        <w:rPr>
          <w:rFonts w:ascii="Times New Roman" w:cs="Times New Roman" w:eastAsia="Times New Roman" w:hAnsi="Times New Roman"/>
          <w:sz w:val="16"/>
          <w:szCs w:val="16"/>
          <w:color w:val="auto"/>
        </w:rPr>
        <w:t>”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Further Issuances</w:t>
      </w:r>
    </w:p>
    <w:p>
      <w:pPr>
        <w:spacing w:after="0" w:line="168" w:lineRule="exact"/>
        <w:rPr>
          <w:sz w:val="20"/>
          <w:szCs w:val="20"/>
          <w:color w:val="auto"/>
        </w:rPr>
      </w:pPr>
    </w:p>
    <w:p>
      <w:pPr>
        <w:ind w:right="40"/>
        <w:spacing w:after="0" w:line="323" w:lineRule="auto"/>
        <w:rPr>
          <w:sz w:val="20"/>
          <w:szCs w:val="20"/>
          <w:color w:val="auto"/>
        </w:rPr>
      </w:pPr>
      <w:r>
        <w:rPr>
          <w:rFonts w:ascii="Times New Roman" w:cs="Times New Roman" w:eastAsia="Times New Roman" w:hAnsi="Times New Roman"/>
          <w:sz w:val="14"/>
          <w:szCs w:val="14"/>
          <w:color w:val="auto"/>
        </w:rPr>
        <w:t>We may, from time to time, without the consent of or notice to existing holders of the Notes, create and issue further debt securities having the same terms and conditions as the Notes in all respects, except for issue date, issue price and, to the extent applicable, the first payment of interest and the initial interest accrual date. Additional debt securities issued in this manner will be consolidated with and will form a single tranche or series of debt securities with the related previously outstanding applicable tranche or series of Notes; provided, however, that the issuance of such additional Notes will not be so consolidated for United States federal income tax purposes unless such issuance constitutes a “qualified reopening” within the meaning of the Internal Revenue Code of 1986, as amended (the “Code”), and the Treasury regulations promulgated thereunder.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Book-Entry Delivery and Settlement</w:t>
      </w:r>
    </w:p>
    <w:p>
      <w:pPr>
        <w:spacing w:after="0" w:line="1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6"/>
          <w:szCs w:val="16"/>
          <w:color w:val="auto"/>
        </w:rPr>
        <w:t>The Notes of each tranche or series will be issued in the form of one or more global Notes in fully registered form, without coupons, and will be deposited with, or on behalf of, a common depositary for, and in respect of interests held through, Euroclear and Clearstream. Except as described herein, certificates will not be issued in exchange for beneficial interests in the global Notes.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as set forth below, the global Notes may be transferred, in whole and not in part, only to Euroclear or Clearstream or their respective nominees.</w:t>
      </w:r>
    </w:p>
    <w:p>
      <w:pPr>
        <w:spacing w:after="0" w:line="156"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Beneficial interests in the global Notes will be represented, and transfers of such beneficial interests will be effected, through accounts of financial institutions acting on behalf of beneficial owners as direct or indirect</w:t>
      </w:r>
    </w:p>
    <w:p>
      <w:pPr>
        <w:sectPr>
          <w:pgSz w:w="11900" w:h="16838" w:orient="portrait"/>
          <w:cols w:equalWidth="0" w:num="1">
            <w:col w:w="11260"/>
          </w:cols>
          <w:pgMar w:left="300" w:top="1150" w:right="339" w:bottom="1440" w:gutter="0" w:footer="0" w:header="0"/>
        </w:sectPr>
      </w:pPr>
    </w:p>
    <w:bookmarkStart w:id="135" w:name="page136"/>
    <w:bookmarkEnd w:id="135"/>
    <w:p>
      <w:pPr>
        <w:ind w:right="360"/>
        <w:spacing w:after="0" w:line="301" w:lineRule="auto"/>
        <w:rPr>
          <w:sz w:val="20"/>
          <w:szCs w:val="20"/>
          <w:color w:val="auto"/>
        </w:rPr>
      </w:pPr>
      <w:r>
        <w:rPr>
          <w:rFonts w:ascii="Times New Roman" w:cs="Times New Roman" w:eastAsia="Times New Roman" w:hAnsi="Times New Roman"/>
          <w:sz w:val="16"/>
          <w:szCs w:val="16"/>
          <w:color w:val="auto"/>
        </w:rPr>
        <w:t>participants in Euroclear or Clearstream. Those beneficial interests will be in denominations of €100,000 and integral multiples of €1,000 in excess thereof. Investors may hold Notes directly through Euroclear or Clearstream, if they are participants in such systems, or indirectly through organizations that are participants in such systems.</w:t>
      </w:r>
    </w:p>
    <w:p>
      <w:pPr>
        <w:spacing w:after="0" w:line="90"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4"/>
          <w:szCs w:val="14"/>
          <w:color w:val="auto"/>
        </w:rPr>
        <w:t>Owners of beneficial interests in the global Notes will not be entitled to have Notes registered in their names, and, except as described herein, will not receive or be entitled to receive physical delivery of Notes in certificated form. So long as the common depositary for Euroclear and Clearstream or its nominee is the registered owner of the global Notes, the common depositary for all purposes will be considered the sole holder of the Notes represented by the global Notes under the Indenture and the global Notes. Except as provided below, beneficial owners will not be considered the owners or holders of the Notes under the Indenture, including for purposes of receiving any reports delivered by us or the Trustee pursuant to the Indenture. Accordingly, each beneficial owner must rely on the procedures of the clearing systems and, if such person is not a participant of the clearing systems, on the procedures of the participant through which such person owns its interest, to exercise any rights of a holder under the Indenture. Under existing industry practices, if we request any action of holders or a beneficial owner desires to give or take any action which a holder is entitled to give or take under the Indenture, the clearing systems would authorize their participants 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will be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 of Global Notes for Certificated Notes</w:t>
      </w:r>
    </w:p>
    <w:p>
      <w:pPr>
        <w:spacing w:after="0" w:line="158" w:lineRule="exact"/>
        <w:rPr>
          <w:sz w:val="20"/>
          <w:szCs w:val="20"/>
          <w:color w:val="auto"/>
        </w:rPr>
      </w:pPr>
    </w:p>
    <w:p>
      <w:pPr>
        <w:ind w:right="660"/>
        <w:spacing w:after="0" w:line="301" w:lineRule="auto"/>
        <w:rPr>
          <w:sz w:val="20"/>
          <w:szCs w:val="20"/>
          <w:color w:val="auto"/>
        </w:rPr>
      </w:pPr>
      <w:r>
        <w:rPr>
          <w:rFonts w:ascii="Times New Roman" w:cs="Times New Roman" w:eastAsia="Times New Roman" w:hAnsi="Times New Roman"/>
          <w:sz w:val="16"/>
          <w:szCs w:val="16"/>
          <w:color w:val="auto"/>
        </w:rPr>
        <w:t>Subject to certain conditions, the Notes represented by the global Notes are exchangeable for certificated Notes in definitive form of like tenor in minimum denominations of €100,000 principal amount and integral multiples of €1,000 in excess thereof if:</w:t>
      </w:r>
    </w:p>
    <w:p>
      <w:pPr>
        <w:spacing w:after="0" w:line="101" w:lineRule="exact"/>
        <w:rPr>
          <w:sz w:val="20"/>
          <w:szCs w:val="20"/>
          <w:color w:val="auto"/>
        </w:rPr>
      </w:pPr>
    </w:p>
    <w:p>
      <w:pPr>
        <w:ind w:left="520" w:right="300" w:hanging="6"/>
        <w:spacing w:after="0" w:line="362" w:lineRule="auto"/>
        <w:tabs>
          <w:tab w:leader="none" w:pos="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notified that both Clearstream and Euroclear have been closed for business for a continuous period of at least 14 days (other than by reason of holiday, statutory or otherwise) or have announced an intention permanently to cease business or have in fact done so and no successor clearing system is available;</w:t>
      </w:r>
    </w:p>
    <w:p>
      <w:pPr>
        <w:spacing w:after="0" w:line="66" w:lineRule="exact"/>
        <w:rPr>
          <w:rFonts w:ascii="Times New Roman" w:cs="Times New Roman" w:eastAsia="Times New Roman" w:hAnsi="Times New Roman"/>
          <w:sz w:val="14"/>
          <w:szCs w:val="14"/>
          <w:color w:val="auto"/>
        </w:rPr>
      </w:pPr>
    </w:p>
    <w:p>
      <w:pPr>
        <w:ind w:left="740" w:hanging="226"/>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at our option, notify the Trustee in writing that we elect to cause the issuance of certificated Notes in definitive form; or</w:t>
      </w:r>
    </w:p>
    <w:p>
      <w:pPr>
        <w:spacing w:after="0" w:line="166" w:lineRule="exact"/>
        <w:rPr>
          <w:rFonts w:ascii="Times New Roman" w:cs="Times New Roman" w:eastAsia="Times New Roman" w:hAnsi="Times New Roman"/>
          <w:sz w:val="16"/>
          <w:szCs w:val="16"/>
          <w:color w:val="auto"/>
        </w:rPr>
      </w:pPr>
    </w:p>
    <w:p>
      <w:pPr>
        <w:ind w:left="740" w:hanging="226"/>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occurred and is continuing an Event of Default with respect to the Notes.</w:t>
      </w:r>
    </w:p>
    <w:p>
      <w:pPr>
        <w:spacing w:after="0" w:line="16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6"/>
          <w:szCs w:val="16"/>
          <w:color w:val="auto"/>
        </w:rPr>
        <w:t>In all cases, certificated Notes in definitive form delivered in exchange for any global Note or beneficial interest therein will be registered in the names, and issued in any approved denominations, requested by or on behalf of the common depositary (in accordance with its customary procedures).</w:t>
      </w:r>
    </w:p>
    <w:p>
      <w:pPr>
        <w:spacing w:after="0" w:line="112"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color w:val="auto"/>
        </w:rPr>
        <w:t>Payments (including principal and interest) and transfers with respect to Notes in certificated form may be executed at the office or agency maintained for such purpose in London (initially the corporate trust office of the</w:t>
      </w:r>
    </w:p>
    <w:p>
      <w:pPr>
        <w:sectPr>
          <w:pgSz w:w="11900" w:h="16838" w:orient="portrait"/>
          <w:cols w:equalWidth="0" w:num="1">
            <w:col w:w="11280"/>
          </w:cols>
          <w:pgMar w:left="300" w:top="1150" w:right="319" w:bottom="1440" w:gutter="0" w:footer="0" w:header="0"/>
        </w:sectPr>
      </w:pPr>
    </w:p>
    <w:bookmarkStart w:id="136" w:name="page137"/>
    <w:bookmarkEnd w:id="136"/>
    <w:p>
      <w:pPr>
        <w:spacing w:after="0" w:line="331" w:lineRule="auto"/>
        <w:rPr>
          <w:sz w:val="20"/>
          <w:szCs w:val="20"/>
          <w:color w:val="auto"/>
        </w:rPr>
      </w:pPr>
      <w:r>
        <w:rPr>
          <w:rFonts w:ascii="Times New Roman" w:cs="Times New Roman" w:eastAsia="Times New Roman" w:hAnsi="Times New Roman"/>
          <w:sz w:val="14"/>
          <w:szCs w:val="14"/>
          <w:color w:val="auto"/>
        </w:rPr>
        <w:t>London Paying Agent) or, at our option, by check mailed to the holders thereof at the respective addresses set forth in the register of holders of the Notes, provided that all payments (including principal and interest) on Notes in certificated form, for which the holders thereof have given wire transfer instructions at least ten calendar days prior to the applicable payment date,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Indenture Provisions: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Merger and Consolidation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We may consolidate or merge with or into any other corporation, and we may sell, lease or convey all or substantially all of our assets to any corporation,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w:t>
      </w:r>
    </w:p>
    <w:p>
      <w:pPr>
        <w:spacing w:after="0" w:line="168" w:lineRule="exact"/>
        <w:rPr>
          <w:sz w:val="20"/>
          <w:szCs w:val="20"/>
          <w:color w:val="auto"/>
        </w:rPr>
      </w:pPr>
    </w:p>
    <w:p>
      <w:pPr>
        <w:ind w:left="520" w:right="280" w:hanging="260"/>
        <w:spacing w:after="0" w:line="269" w:lineRule="auto"/>
        <w:tabs>
          <w:tab w:leader="none" w:pos="511" w:val="left"/>
        </w:tabs>
        <w:numPr>
          <w:ilvl w:val="0"/>
          <w:numId w:val="45"/>
        </w:numPr>
        <w:rPr>
          <w:rFonts w:ascii="Arial" w:cs="Arial" w:eastAsia="Arial" w:hAnsi="Arial"/>
          <w:sz w:val="16"/>
          <w:szCs w:val="16"/>
          <w:color w:val="auto"/>
        </w:rPr>
      </w:pPr>
      <w:r>
        <w:rPr>
          <w:rFonts w:ascii="Times New Roman" w:cs="Times New Roman" w:eastAsia="Times New Roman" w:hAnsi="Times New Roman"/>
          <w:sz w:val="16"/>
          <w:szCs w:val="16"/>
          <w:color w:val="auto"/>
        </w:rPr>
        <w:t>the resulting corporation, if other than Colgate, is a corporation organized and existing under the laws of the United States of America or any U.S. state or the District of Columbia and assumes all of our obligations to:</w:t>
      </w:r>
    </w:p>
    <w:p>
      <w:pPr>
        <w:ind w:left="940" w:hanging="171"/>
        <w:spacing w:after="0"/>
        <w:tabs>
          <w:tab w:leader="none" w:pos="94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or deliver the principal of or any premium, interest or additional amounts on the debt securities; and</w:t>
      </w:r>
    </w:p>
    <w:p>
      <w:pPr>
        <w:spacing w:after="0" w:line="18" w:lineRule="exact"/>
        <w:rPr>
          <w:rFonts w:ascii="Times New Roman" w:cs="Times New Roman" w:eastAsia="Times New Roman" w:hAnsi="Times New Roman"/>
          <w:sz w:val="16"/>
          <w:szCs w:val="16"/>
          <w:color w:val="auto"/>
        </w:rPr>
      </w:pPr>
    </w:p>
    <w:p>
      <w:pPr>
        <w:ind w:left="940" w:hanging="171"/>
        <w:spacing w:after="0"/>
        <w:tabs>
          <w:tab w:leader="none" w:pos="94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 and observe all of our other obligations under the Indenture, and</w:t>
      </w:r>
    </w:p>
    <w:p>
      <w:pPr>
        <w:spacing w:after="0" w:line="2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5"/>
        </w:numPr>
        <w:rPr>
          <w:rFonts w:ascii="Arial" w:cs="Arial" w:eastAsia="Arial" w:hAnsi="Arial"/>
          <w:sz w:val="16"/>
          <w:szCs w:val="16"/>
          <w:color w:val="auto"/>
        </w:rPr>
      </w:pPr>
      <w:r>
        <w:rPr>
          <w:rFonts w:ascii="Times New Roman" w:cs="Times New Roman" w:eastAsia="Times New Roman" w:hAnsi="Times New Roman"/>
          <w:sz w:val="16"/>
          <w:szCs w:val="16"/>
          <w:color w:val="auto"/>
        </w:rPr>
        <w:t>we or any successor corporation, as the case may be, are not, immediately after any such consolidation, merger or sale of assets, in default under the indenture.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 and Waiver</w:t>
      </w:r>
    </w:p>
    <w:p>
      <w:pPr>
        <w:spacing w:after="0" w:line="15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6"/>
          <w:szCs w:val="16"/>
          <w:color w:val="auto"/>
        </w:rPr>
        <w:t>We and the trustee may, without the consent of holders, modify provisions of the Indenture for specified purposes, including, among other things, curing ambiguities and correcting inconsistencies. We and the trustee may modify and amend other provisions of the Indenture with the consent of holders of at least a majority in principal amount of each series of debt securities affected. However, the consent of each holder of any debt security affected must be obtained if the amendment or modification:</w:t>
      </w:r>
    </w:p>
    <w:p>
      <w:pPr>
        <w:spacing w:after="0" w:line="115" w:lineRule="exact"/>
        <w:rPr>
          <w:sz w:val="20"/>
          <w:szCs w:val="20"/>
          <w:color w:val="auto"/>
        </w:rPr>
      </w:pPr>
    </w:p>
    <w:p>
      <w:pPr>
        <w:ind w:left="500" w:hanging="240"/>
        <w:spacing w:after="0"/>
        <w:tabs>
          <w:tab w:leader="none" w:pos="500" w:val="left"/>
        </w:tabs>
        <w:numPr>
          <w:ilvl w:val="0"/>
          <w:numId w:val="46"/>
        </w:numPr>
        <w:rPr>
          <w:rFonts w:ascii="Arial" w:cs="Arial" w:eastAsia="Arial" w:hAnsi="Arial"/>
          <w:sz w:val="16"/>
          <w:szCs w:val="16"/>
          <w:color w:val="auto"/>
        </w:rPr>
      </w:pPr>
      <w:r>
        <w:rPr>
          <w:rFonts w:ascii="Times New Roman" w:cs="Times New Roman" w:eastAsia="Times New Roman" w:hAnsi="Times New Roman"/>
          <w:sz w:val="16"/>
          <w:szCs w:val="16"/>
          <w:color w:val="auto"/>
        </w:rPr>
        <w:t>changes the stated maturity of the principal of, or any premium or installment of interest or additional amounts on, any debt security;</w:t>
      </w:r>
    </w:p>
    <w:p>
      <w:pPr>
        <w:spacing w:after="0" w:line="27" w:lineRule="exact"/>
        <w:rPr>
          <w:rFonts w:ascii="Arial" w:cs="Arial" w:eastAsia="Arial" w:hAnsi="Arial"/>
          <w:sz w:val="16"/>
          <w:szCs w:val="16"/>
          <w:color w:val="auto"/>
        </w:rPr>
      </w:pPr>
    </w:p>
    <w:p>
      <w:pPr>
        <w:ind w:left="520" w:right="420" w:hanging="260"/>
        <w:spacing w:after="0" w:line="269" w:lineRule="auto"/>
        <w:tabs>
          <w:tab w:leader="none" w:pos="511" w:val="left"/>
        </w:tabs>
        <w:numPr>
          <w:ilvl w:val="0"/>
          <w:numId w:val="46"/>
        </w:numPr>
        <w:rPr>
          <w:rFonts w:ascii="Arial" w:cs="Arial" w:eastAsia="Arial" w:hAnsi="Arial"/>
          <w:sz w:val="16"/>
          <w:szCs w:val="16"/>
          <w:color w:val="auto"/>
        </w:rPr>
      </w:pPr>
      <w:r>
        <w:rPr>
          <w:rFonts w:ascii="Times New Roman" w:cs="Times New Roman" w:eastAsia="Times New Roman" w:hAnsi="Times New Roman"/>
          <w:sz w:val="16"/>
          <w:szCs w:val="16"/>
          <w:color w:val="auto"/>
        </w:rPr>
        <w:t>reduces the principal amount due and payable at maturity or upon acceleration of maturity of, or the rate of interest or additional amounts payable on, or any premium payable on redemption or otherwise on, any debt security;</w:t>
      </w:r>
    </w:p>
    <w:p>
      <w:pPr>
        <w:ind w:left="500" w:hanging="240"/>
        <w:spacing w:after="0"/>
        <w:tabs>
          <w:tab w:leader="none" w:pos="500" w:val="left"/>
        </w:tabs>
        <w:numPr>
          <w:ilvl w:val="0"/>
          <w:numId w:val="46"/>
        </w:numPr>
        <w:rPr>
          <w:rFonts w:ascii="Arial" w:cs="Arial" w:eastAsia="Arial" w:hAnsi="Arial"/>
          <w:sz w:val="16"/>
          <w:szCs w:val="16"/>
          <w:color w:val="auto"/>
        </w:rPr>
      </w:pPr>
      <w:r>
        <w:rPr>
          <w:rFonts w:ascii="Times New Roman" w:cs="Times New Roman" w:eastAsia="Times New Roman" w:hAnsi="Times New Roman"/>
          <w:sz w:val="16"/>
          <w:szCs w:val="16"/>
          <w:color w:val="auto"/>
        </w:rPr>
        <w:t>adversely affects any right of repayment at the option of the holders;</w:t>
      </w:r>
    </w:p>
    <w:p>
      <w:pPr>
        <w:spacing w:after="0" w:line="21" w:lineRule="exact"/>
        <w:rPr>
          <w:rFonts w:ascii="Arial" w:cs="Arial" w:eastAsia="Arial" w:hAnsi="Arial"/>
          <w:sz w:val="16"/>
          <w:szCs w:val="16"/>
          <w:color w:val="auto"/>
        </w:rPr>
      </w:pPr>
    </w:p>
    <w:p>
      <w:pPr>
        <w:ind w:left="520" w:right="20" w:hanging="260"/>
        <w:spacing w:after="0" w:line="266" w:lineRule="auto"/>
        <w:tabs>
          <w:tab w:leader="none" w:pos="511" w:val="left"/>
        </w:tabs>
        <w:numPr>
          <w:ilvl w:val="0"/>
          <w:numId w:val="46"/>
        </w:numPr>
        <w:rPr>
          <w:rFonts w:ascii="Arial" w:cs="Arial" w:eastAsia="Arial" w:hAnsi="Arial"/>
          <w:sz w:val="16"/>
          <w:szCs w:val="16"/>
          <w:color w:val="auto"/>
        </w:rPr>
      </w:pPr>
      <w:r>
        <w:rPr>
          <w:rFonts w:ascii="Times New Roman" w:cs="Times New Roman" w:eastAsia="Times New Roman" w:hAnsi="Times New Roman"/>
          <w:sz w:val="16"/>
          <w:szCs w:val="16"/>
          <w:color w:val="auto"/>
        </w:rPr>
        <w:t>changes the place of delivery of, or currency of, the payment of principal or any premium, interest or additional amounts on any debt security or impairs the right to institute suit for the enforcement of any such payment or delivery;</w:t>
      </w:r>
    </w:p>
    <w:p>
      <w:pPr>
        <w:spacing w:after="0" w:line="1" w:lineRule="exact"/>
        <w:rPr>
          <w:rFonts w:ascii="Arial" w:cs="Arial" w:eastAsia="Arial" w:hAnsi="Arial"/>
          <w:sz w:val="16"/>
          <w:szCs w:val="16"/>
          <w:color w:val="auto"/>
        </w:rPr>
      </w:pPr>
    </w:p>
    <w:p>
      <w:pPr>
        <w:ind w:left="520" w:right="260" w:hanging="260"/>
        <w:spacing w:after="0" w:line="269" w:lineRule="auto"/>
        <w:tabs>
          <w:tab w:leader="none" w:pos="511" w:val="left"/>
        </w:tabs>
        <w:numPr>
          <w:ilvl w:val="0"/>
          <w:numId w:val="46"/>
        </w:numPr>
        <w:rPr>
          <w:rFonts w:ascii="Arial" w:cs="Arial" w:eastAsia="Arial" w:hAnsi="Arial"/>
          <w:sz w:val="16"/>
          <w:szCs w:val="16"/>
          <w:color w:val="auto"/>
        </w:rPr>
      </w:pPr>
      <w:r>
        <w:rPr>
          <w:rFonts w:ascii="Times New Roman" w:cs="Times New Roman" w:eastAsia="Times New Roman" w:hAnsi="Times New Roman"/>
          <w:sz w:val="16"/>
          <w:szCs w:val="16"/>
          <w:color w:val="auto"/>
        </w:rPr>
        <w:t>reduces the percentage in principal amount or aggregate issue price of the outstanding debt securities of any series, the consent of whose holders is required to modify or amend the Indenture; or</w:t>
      </w:r>
    </w:p>
    <w:p>
      <w:pPr>
        <w:ind w:left="520" w:right="360" w:hanging="260"/>
        <w:spacing w:after="0" w:line="298" w:lineRule="auto"/>
        <w:tabs>
          <w:tab w:leader="none" w:pos="511" w:val="left"/>
        </w:tabs>
        <w:numPr>
          <w:ilvl w:val="0"/>
          <w:numId w:val="46"/>
        </w:numPr>
        <w:rPr>
          <w:rFonts w:ascii="Arial" w:cs="Arial" w:eastAsia="Arial" w:hAnsi="Arial"/>
          <w:sz w:val="16"/>
          <w:szCs w:val="16"/>
          <w:color w:val="auto"/>
        </w:rPr>
      </w:pPr>
      <w:r>
        <w:rPr>
          <w:rFonts w:ascii="Times New Roman" w:cs="Times New Roman" w:eastAsia="Times New Roman" w:hAnsi="Times New Roman"/>
          <w:sz w:val="16"/>
          <w:szCs w:val="16"/>
          <w:color w:val="auto"/>
        </w:rPr>
        <w:t>modifies the foregoing requirements or reduces the percentage to less than a majority in principal amount of outstanding debt securities necessary to waive certain past defaults by Colgate under the Indenture.</w:t>
      </w:r>
    </w:p>
    <w:p>
      <w:pPr>
        <w:sectPr>
          <w:pgSz w:w="11900" w:h="16838" w:orient="portrait"/>
          <w:cols w:equalWidth="0" w:num="1">
            <w:col w:w="11260"/>
          </w:cols>
          <w:pgMar w:left="300" w:top="1150" w:right="339" w:bottom="1440" w:gutter="0" w:footer="0" w:header="0"/>
        </w:sectPr>
      </w:pPr>
    </w:p>
    <w:bookmarkStart w:id="137" w:name="page138"/>
    <w:bookmarkEnd w:id="137"/>
    <w:p>
      <w:pPr>
        <w:ind w:right="280"/>
        <w:spacing w:after="0" w:line="301" w:lineRule="auto"/>
        <w:rPr>
          <w:sz w:val="20"/>
          <w:szCs w:val="20"/>
          <w:color w:val="auto"/>
        </w:rPr>
      </w:pPr>
      <w:r>
        <w:rPr>
          <w:rFonts w:ascii="Times New Roman" w:cs="Times New Roman" w:eastAsia="Times New Roman" w:hAnsi="Times New Roman"/>
          <w:sz w:val="16"/>
          <w:szCs w:val="16"/>
          <w:color w:val="auto"/>
        </w:rPr>
        <w:t>The holders of at least a majority in principal amount of the outstanding debt securities of any series may, with respect to that series, waive past defaults under the Indenture and waive our compliance with certain provisions of the Indenture, except as described below under “—Events of Default.”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Events of Default</w:t>
      </w:r>
    </w:p>
    <w:p>
      <w:pPr>
        <w:spacing w:after="0" w:line="16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Except as otherwise provided in the applicable prospectus supplement, each of the following constitutes an event of default with respect to each series of debt securities issued under the Indenture:</w:t>
      </w:r>
    </w:p>
    <w:p>
      <w:pPr>
        <w:spacing w:after="0" w:line="90"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6"/>
          <w:szCs w:val="16"/>
          <w:color w:val="auto"/>
        </w:rPr>
      </w:pPr>
      <w:r>
        <w:rPr>
          <w:rFonts w:ascii="Times New Roman" w:cs="Times New Roman" w:eastAsia="Times New Roman" w:hAnsi="Times New Roman"/>
          <w:sz w:val="16"/>
          <w:szCs w:val="16"/>
          <w:color w:val="auto"/>
        </w:rPr>
        <w:t>default in the payment of any interest or additional amounts when due and continuing for 30 days;</w:t>
      </w:r>
    </w:p>
    <w:p>
      <w:pPr>
        <w:spacing w:after="0" w:line="27" w:lineRule="exact"/>
        <w:rPr>
          <w:rFonts w:ascii="Arial" w:cs="Arial" w:eastAsia="Arial" w:hAnsi="Arial"/>
          <w:sz w:val="16"/>
          <w:szCs w:val="16"/>
          <w:color w:val="auto"/>
        </w:rPr>
      </w:pPr>
    </w:p>
    <w:p>
      <w:pPr>
        <w:ind w:left="500" w:hanging="240"/>
        <w:spacing w:after="0"/>
        <w:tabs>
          <w:tab w:leader="none" w:pos="500" w:val="left"/>
        </w:tabs>
        <w:numPr>
          <w:ilvl w:val="0"/>
          <w:numId w:val="47"/>
        </w:numPr>
        <w:rPr>
          <w:rFonts w:ascii="Arial" w:cs="Arial" w:eastAsia="Arial" w:hAnsi="Arial"/>
          <w:sz w:val="16"/>
          <w:szCs w:val="16"/>
          <w:color w:val="auto"/>
        </w:rPr>
      </w:pPr>
      <w:r>
        <w:rPr>
          <w:rFonts w:ascii="Times New Roman" w:cs="Times New Roman" w:eastAsia="Times New Roman" w:hAnsi="Times New Roman"/>
          <w:sz w:val="16"/>
          <w:szCs w:val="16"/>
          <w:color w:val="auto"/>
        </w:rPr>
        <w:t>default in the payment of any principal or premium when due and payable at maturity;</w:t>
      </w:r>
    </w:p>
    <w:p>
      <w:pPr>
        <w:spacing w:after="0" w:line="21" w:lineRule="exact"/>
        <w:rPr>
          <w:rFonts w:ascii="Arial" w:cs="Arial" w:eastAsia="Arial" w:hAnsi="Arial"/>
          <w:sz w:val="16"/>
          <w:szCs w:val="16"/>
          <w:color w:val="auto"/>
        </w:rPr>
      </w:pPr>
    </w:p>
    <w:p>
      <w:pPr>
        <w:ind w:left="500" w:hanging="240"/>
        <w:spacing w:after="0"/>
        <w:tabs>
          <w:tab w:leader="none" w:pos="500" w:val="left"/>
        </w:tabs>
        <w:numPr>
          <w:ilvl w:val="0"/>
          <w:numId w:val="47"/>
        </w:numPr>
        <w:rPr>
          <w:rFonts w:ascii="Arial" w:cs="Arial" w:eastAsia="Arial" w:hAnsi="Arial"/>
          <w:sz w:val="16"/>
          <w:szCs w:val="16"/>
          <w:color w:val="auto"/>
        </w:rPr>
      </w:pPr>
      <w:r>
        <w:rPr>
          <w:rFonts w:ascii="Times New Roman" w:cs="Times New Roman" w:eastAsia="Times New Roman" w:hAnsi="Times New Roman"/>
          <w:sz w:val="16"/>
          <w:szCs w:val="16"/>
          <w:color w:val="auto"/>
        </w:rPr>
        <w:t>default in the payment of any sinking fund payment when due;</w:t>
      </w:r>
    </w:p>
    <w:p>
      <w:pPr>
        <w:spacing w:after="0" w:line="22" w:lineRule="exact"/>
        <w:rPr>
          <w:rFonts w:ascii="Arial" w:cs="Arial" w:eastAsia="Arial" w:hAnsi="Arial"/>
          <w:sz w:val="16"/>
          <w:szCs w:val="16"/>
          <w:color w:val="auto"/>
        </w:rPr>
      </w:pPr>
    </w:p>
    <w:p>
      <w:pPr>
        <w:ind w:left="520" w:right="60" w:hanging="260"/>
        <w:spacing w:after="0" w:line="269" w:lineRule="auto"/>
        <w:tabs>
          <w:tab w:leader="none" w:pos="511" w:val="left"/>
        </w:tabs>
        <w:numPr>
          <w:ilvl w:val="0"/>
          <w:numId w:val="47"/>
        </w:numPr>
        <w:rPr>
          <w:rFonts w:ascii="Arial" w:cs="Arial" w:eastAsia="Arial" w:hAnsi="Arial"/>
          <w:sz w:val="16"/>
          <w:szCs w:val="16"/>
          <w:color w:val="auto"/>
        </w:rPr>
      </w:pPr>
      <w:r>
        <w:rPr>
          <w:rFonts w:ascii="Times New Roman" w:cs="Times New Roman" w:eastAsia="Times New Roman" w:hAnsi="Times New Roman"/>
          <w:sz w:val="16"/>
          <w:szCs w:val="16"/>
          <w:color w:val="auto"/>
        </w:rPr>
        <w:t>default in the performance, or breach, of any other obligation of ours under the Indenture, or under provisions of a series of debt securities that are applicable to all series of debt securities, and continuance of the default for 60 days after we are given written notice of the default as provided in the Indenture;</w:t>
      </w:r>
    </w:p>
    <w:p>
      <w:pPr>
        <w:ind w:left="500" w:hanging="240"/>
        <w:spacing w:after="0"/>
        <w:tabs>
          <w:tab w:leader="none" w:pos="500" w:val="left"/>
        </w:tabs>
        <w:numPr>
          <w:ilvl w:val="0"/>
          <w:numId w:val="47"/>
        </w:numPr>
        <w:rPr>
          <w:rFonts w:ascii="Arial" w:cs="Arial" w:eastAsia="Arial" w:hAnsi="Arial"/>
          <w:sz w:val="16"/>
          <w:szCs w:val="16"/>
          <w:color w:val="auto"/>
        </w:rPr>
      </w:pPr>
      <w:r>
        <w:rPr>
          <w:rFonts w:ascii="Times New Roman" w:cs="Times New Roman" w:eastAsia="Times New Roman" w:hAnsi="Times New Roman"/>
          <w:sz w:val="16"/>
          <w:szCs w:val="16"/>
          <w:color w:val="auto"/>
        </w:rPr>
        <w:t>specified events of bankruptcy, insolvency or reorganization of Colgate; and</w:t>
      </w:r>
    </w:p>
    <w:p>
      <w:pPr>
        <w:spacing w:after="0" w:line="21" w:lineRule="exact"/>
        <w:rPr>
          <w:rFonts w:ascii="Arial" w:cs="Arial" w:eastAsia="Arial" w:hAnsi="Arial"/>
          <w:sz w:val="16"/>
          <w:szCs w:val="16"/>
          <w:color w:val="auto"/>
        </w:rPr>
      </w:pPr>
    </w:p>
    <w:p>
      <w:pPr>
        <w:ind w:left="500" w:hanging="240"/>
        <w:spacing w:after="0"/>
        <w:tabs>
          <w:tab w:leader="none" w:pos="500" w:val="left"/>
        </w:tabs>
        <w:numPr>
          <w:ilvl w:val="0"/>
          <w:numId w:val="47"/>
        </w:numPr>
        <w:rPr>
          <w:rFonts w:ascii="Arial" w:cs="Arial" w:eastAsia="Arial" w:hAnsi="Arial"/>
          <w:sz w:val="16"/>
          <w:szCs w:val="16"/>
          <w:color w:val="auto"/>
        </w:rPr>
      </w:pPr>
      <w:r>
        <w:rPr>
          <w:rFonts w:ascii="Times New Roman" w:cs="Times New Roman" w:eastAsia="Times New Roman" w:hAnsi="Times New Roman"/>
          <w:sz w:val="16"/>
          <w:szCs w:val="16"/>
          <w:color w:val="auto"/>
        </w:rPr>
        <w:t>any other event of default with respect to debt securities of that series.</w:t>
      </w:r>
    </w:p>
    <w:p>
      <w:pPr>
        <w:spacing w:after="0" w:line="160"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If an event of default occurs and is continuing for any series of debt securities, the trustee or the holders of at least 25% in principal amount of the outstanding debt securities of that series may declare the principal of all the debt securities of that series, or any lesser amount provided for in the debt securities of that series, due and payable immediately. At any time after such a declaration of acceleration with respect to the debt securities of any series has been made, but before the trustee has obtained a judgment or decree for payment of the money due, the holders of a majority in principal amount of the outstanding debt securities of that series by written notice may rescind any declaration of acceleration and its consequences, provided that all payments and/or deliveries due, other than those due as a result of acceleration, have been made and all other events of default have been remedied or waived.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holders of at least a majority in principal amount of the outstanding debt securities of any series may waive an event of default with respect to that series, except a default:</w:t>
      </w:r>
    </w:p>
    <w:p>
      <w:pPr>
        <w:spacing w:after="0" w:line="156" w:lineRule="exact"/>
        <w:rPr>
          <w:sz w:val="20"/>
          <w:szCs w:val="20"/>
          <w:color w:val="auto"/>
        </w:rPr>
      </w:pPr>
    </w:p>
    <w:p>
      <w:pPr>
        <w:ind w:left="500" w:hanging="240"/>
        <w:spacing w:after="0"/>
        <w:tabs>
          <w:tab w:leader="none" w:pos="500" w:val="left"/>
        </w:tabs>
        <w:numPr>
          <w:ilvl w:val="0"/>
          <w:numId w:val="48"/>
        </w:numPr>
        <w:rPr>
          <w:rFonts w:ascii="Arial" w:cs="Arial" w:eastAsia="Arial" w:hAnsi="Arial"/>
          <w:sz w:val="16"/>
          <w:szCs w:val="16"/>
          <w:color w:val="auto"/>
        </w:rPr>
      </w:pPr>
      <w:r>
        <w:rPr>
          <w:rFonts w:ascii="Times New Roman" w:cs="Times New Roman" w:eastAsia="Times New Roman" w:hAnsi="Times New Roman"/>
          <w:sz w:val="16"/>
          <w:szCs w:val="16"/>
          <w:color w:val="auto"/>
        </w:rPr>
        <w:t>in the payment of any amounts due and payable or deliverable under the debt securities of that series; or</w:t>
      </w:r>
    </w:p>
    <w:p>
      <w:pPr>
        <w:spacing w:after="0" w:line="27" w:lineRule="exact"/>
        <w:rPr>
          <w:rFonts w:ascii="Arial" w:cs="Arial" w:eastAsia="Arial" w:hAnsi="Arial"/>
          <w:sz w:val="16"/>
          <w:szCs w:val="16"/>
          <w:color w:val="auto"/>
        </w:rPr>
      </w:pPr>
    </w:p>
    <w:p>
      <w:pPr>
        <w:ind w:left="520" w:right="400" w:hanging="260"/>
        <w:spacing w:after="0" w:line="286" w:lineRule="auto"/>
        <w:tabs>
          <w:tab w:leader="none" w:pos="511" w:val="left"/>
        </w:tabs>
        <w:numPr>
          <w:ilvl w:val="0"/>
          <w:numId w:val="48"/>
        </w:numPr>
        <w:rPr>
          <w:rFonts w:ascii="Arial" w:cs="Arial" w:eastAsia="Arial" w:hAnsi="Arial"/>
          <w:sz w:val="16"/>
          <w:szCs w:val="16"/>
          <w:color w:val="auto"/>
        </w:rPr>
      </w:pPr>
      <w:r>
        <w:rPr>
          <w:rFonts w:ascii="Times New Roman" w:cs="Times New Roman" w:eastAsia="Times New Roman" w:hAnsi="Times New Roman"/>
          <w:sz w:val="16"/>
          <w:szCs w:val="16"/>
          <w:color w:val="auto"/>
        </w:rPr>
        <w:t>in respect of an obligation of ours contained in, or a provision of, the Indenture which cannot be modified under the terms of the Indenture without the consent of each holder of outstanding debt securities affected.</w:t>
      </w:r>
    </w:p>
    <w:p>
      <w:pPr>
        <w:spacing w:after="0" w:line="112" w:lineRule="exact"/>
        <w:rPr>
          <w:sz w:val="20"/>
          <w:szCs w:val="20"/>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 series may direct the time, method and place of conducting any proceeding for any remedy available to the trustee or exercising any trust or power conferred on the trustee with respect to debt securities of that series, provided that the direction is not in conflict with any rule of law, the Indenture or the debt securities of that series. The trustee must, within 90 days after a default occurs notify the holders of the applicable series of debt securities of the default, unless the default is cured or waived. The trustee may withhold notice of default, except default in payment of principal, any premium, interest or sinking fund payment, if it determines that it is in the interest of the holders to do so. Before proceeding to exercise any right or power under the Indenture at the direction of the holders, the trustee is entitled to receive from those holders reasonable security or indemnity against the costs, expenses and liabilities which might be incurred by it in complying with any such direction.</w:t>
      </w:r>
    </w:p>
    <w:p>
      <w:pPr>
        <w:sectPr>
          <w:pgSz w:w="11900" w:h="16838" w:orient="portrait"/>
          <w:cols w:equalWidth="0" w:num="1">
            <w:col w:w="11260"/>
          </w:cols>
          <w:pgMar w:left="300" w:top="1150" w:right="339" w:bottom="1440" w:gutter="0" w:footer="0" w:header="0"/>
        </w:sectPr>
      </w:pPr>
    </w:p>
    <w:bookmarkStart w:id="138" w:name="page139"/>
    <w:bookmarkEnd w:id="138"/>
    <w:p>
      <w:pPr>
        <w:ind w:right="300"/>
        <w:spacing w:after="0" w:line="301" w:lineRule="auto"/>
        <w:rPr>
          <w:sz w:val="20"/>
          <w:szCs w:val="20"/>
          <w:color w:val="auto"/>
        </w:rPr>
      </w:pPr>
      <w:r>
        <w:rPr>
          <w:rFonts w:ascii="Times New Roman" w:cs="Times New Roman" w:eastAsia="Times New Roman" w:hAnsi="Times New Roman"/>
          <w:sz w:val="16"/>
          <w:szCs w:val="16"/>
          <w:color w:val="auto"/>
        </w:rPr>
        <w:t>Unless otherwise stated in the prospectus supplement, any series of debt securities issued under the Indenture will not have the benefit of any cross-default provisions with other indebtedness of our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will be required to furnish to the trustee annually a statement as to our performance of all of our obligations and conditions under the Indenture.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Defeasance and Covenant Defeasance</w:t>
      </w:r>
    </w:p>
    <w:p>
      <w:pPr>
        <w:spacing w:after="0" w:line="16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We at any time may terminate as to a series of debt securities all of our obligations (except for certain obligations regarding the defeasance trust and obligations to register the transfer or exchange of a debt security, to replace destroyed, lost or stolen debt securities and any related coupons and to maintain agencies with respect to the debt securities) arising under the Indenture and the debt securities and coupons of that series. This option of ours is called a “legal defeasance.” We at any time may terminate as to a series of debt securities, among other obligations, our obligations arising under the covenant described under “Limitations Upon Liens” below. This option of ours is called a “covenant defeasance.”</w:t>
      </w:r>
    </w:p>
    <w:p>
      <w:pPr>
        <w:spacing w:after="0" w:line="124"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4"/>
          <w:szCs w:val="14"/>
          <w:color w:val="auto"/>
        </w:rPr>
        <w:t>We may exercise our legal defeasance option with respect to a series of debt securities even if we have previously exercised our covenant defeasance option in regard to that series of debt securities. If we exercise our legal defeasance option with respect to a series of debt securities, that series may not be accelerated because of an Event of Default. If we exercise our covenant defeasance option with respect to a series of debt securities, that series may not be accelerated on the basis of breaches of the defeased covenant.</w:t>
      </w:r>
    </w:p>
    <w:p>
      <w:pPr>
        <w:spacing w:after="0" w:line="8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To exercise either option as to a series of debt securities, we must deposit in trust with the trustee cash or United States government obligations sufficient to pay the principal of, premium, if any, and interest on the debt securities of that series at their maturity or redemption and must comply with other specified conditions. In particular, we must obtain an opinion of tax counsel that the defeasance will not result in recognition for United States Federal income tax purposes of any gain or loss to holders of the series of debt securities. The opinion of tax counsel, in the case of legal defeasance, must refer to and be based upon a ruling of the Internal Revenue Service or a change in applicable United States Federal income tax law occurring after the date of the Indenture.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Limitations Upon Liens</w:t>
      </w:r>
    </w:p>
    <w:p>
      <w:pPr>
        <w:spacing w:after="0" w:line="168"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The debt securities will not be secured by any mortgage, pledge or other lien. Unless a prospectus supplement with respect to a particular series of debt securities states otherwise, the covenants described below will apply to each series of debt securities.</w:t>
      </w:r>
    </w:p>
    <w:p>
      <w:pPr>
        <w:spacing w:after="0" w:line="10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We covenant in the Indenture not to create or suffer to exist, or permit any of our Principal Domestic Subsidiaries to create or suffer to exist, any Lien on any Restricted Property, whether owned on the date of the Indenture or thereafter acquired, without making effective provision (and we covenant and agree in the Indenture that we will make or cause to be made effective provision) whereby the debt securities shall be directly secured by such Lien equally and ratably with (or prior to) all other indebtedness secured by such Lien as long as such other indebtedness shall be so secured; provided, however, that there shall be excluded from the foregoing restrictions:</w:t>
      </w:r>
    </w:p>
    <w:p>
      <w:pPr>
        <w:spacing w:after="0" w:line="122" w:lineRule="exact"/>
        <w:rPr>
          <w:sz w:val="20"/>
          <w:szCs w:val="20"/>
          <w:color w:val="auto"/>
        </w:rPr>
      </w:pPr>
    </w:p>
    <w:p>
      <w:pPr>
        <w:ind w:left="520" w:right="40" w:hanging="260"/>
        <w:spacing w:after="0" w:line="286" w:lineRule="auto"/>
        <w:tabs>
          <w:tab w:leader="none" w:pos="511" w:val="left"/>
        </w:tabs>
        <w:numPr>
          <w:ilvl w:val="0"/>
          <w:numId w:val="49"/>
        </w:numPr>
        <w:rPr>
          <w:rFonts w:ascii="Arial" w:cs="Arial" w:eastAsia="Arial" w:hAnsi="Arial"/>
          <w:sz w:val="16"/>
          <w:szCs w:val="16"/>
          <w:color w:val="auto"/>
        </w:rPr>
      </w:pPr>
      <w:r>
        <w:rPr>
          <w:rFonts w:ascii="Times New Roman" w:cs="Times New Roman" w:eastAsia="Times New Roman" w:hAnsi="Times New Roman"/>
          <w:sz w:val="16"/>
          <w:szCs w:val="16"/>
          <w:color w:val="auto"/>
        </w:rPr>
        <w:t>Liens securing Debt not exceeding $10,000,000 which are existing on the date of the Indenture on Restricted Property; and, if any property owned or leased as of the date of the indenture by us or one of our Principal Domestic Subsidiaries at any time thereafter becomes a Principal Domestic Manufacturing</w:t>
      </w:r>
    </w:p>
    <w:p>
      <w:pPr>
        <w:sectPr>
          <w:pgSz w:w="11900" w:h="16838" w:orient="portrait"/>
          <w:cols w:equalWidth="0" w:num="1">
            <w:col w:w="11280"/>
          </w:cols>
          <w:pgMar w:left="300" w:top="1150" w:right="319" w:bottom="1440" w:gutter="0" w:footer="0" w:header="0"/>
        </w:sectPr>
      </w:pPr>
    </w:p>
    <w:bookmarkStart w:id="139" w:name="page140"/>
    <w:bookmarkEnd w:id="139"/>
    <w:p>
      <w:pPr>
        <w:ind w:left="260"/>
        <w:spacing w:after="0"/>
        <w:rPr>
          <w:sz w:val="20"/>
          <w:szCs w:val="20"/>
          <w:color w:val="auto"/>
        </w:rPr>
      </w:pPr>
      <w:r>
        <w:rPr>
          <w:rFonts w:ascii="Times New Roman" w:cs="Times New Roman" w:eastAsia="Times New Roman" w:hAnsi="Times New Roman"/>
          <w:sz w:val="16"/>
          <w:szCs w:val="16"/>
          <w:color w:val="auto"/>
        </w:rPr>
        <w:t>Property, any Liens existing on the date of the Indenture on such property securing the Debt secured or evidenced thereby on the date of the Indenture;</w:t>
      </w:r>
    </w:p>
    <w:p>
      <w:pPr>
        <w:spacing w:after="0" w:line="28" w:lineRule="exact"/>
        <w:rPr>
          <w:sz w:val="20"/>
          <w:szCs w:val="20"/>
          <w:color w:val="auto"/>
        </w:rPr>
      </w:pPr>
    </w:p>
    <w:p>
      <w:pPr>
        <w:ind w:left="240" w:hanging="240"/>
        <w:spacing w:after="0"/>
        <w:tabs>
          <w:tab w:leader="none" w:pos="240"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Liens on Restricted Property of a Principal Domestic Subsidiary as a security for Debt of such Subsidiary to us or to another Principal Domestic Subsidiary;</w:t>
      </w:r>
    </w:p>
    <w:p>
      <w:pPr>
        <w:spacing w:after="0" w:line="21" w:lineRule="exact"/>
        <w:rPr>
          <w:rFonts w:ascii="Arial" w:cs="Arial" w:eastAsia="Arial" w:hAnsi="Arial"/>
          <w:sz w:val="16"/>
          <w:szCs w:val="16"/>
          <w:color w:val="auto"/>
        </w:rPr>
      </w:pPr>
    </w:p>
    <w:p>
      <w:pPr>
        <w:ind w:left="260" w:right="20" w:hanging="260"/>
        <w:spacing w:after="0" w:line="269" w:lineRule="auto"/>
        <w:tabs>
          <w:tab w:leader="none" w:pos="251"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in the case of any corporation which becomes a Principal Domestic Subsidiary after the date of the Indenture, Liens on Restricted Property of such Principal Domestic Subsidiary which are in existence at the time it becomes a Principal Domestic Subsidiary and which were not incurred in contemplation of it becoming a Principal Domestic Subsidiary;</w:t>
      </w:r>
    </w:p>
    <w:p>
      <w:pPr>
        <w:spacing w:after="0" w:line="1" w:lineRule="exact"/>
        <w:rPr>
          <w:rFonts w:ascii="Arial" w:cs="Arial" w:eastAsia="Arial" w:hAnsi="Arial"/>
          <w:sz w:val="16"/>
          <w:szCs w:val="16"/>
          <w:color w:val="auto"/>
        </w:rPr>
      </w:pPr>
    </w:p>
    <w:p>
      <w:pPr>
        <w:ind w:left="260" w:right="160" w:hanging="260"/>
        <w:spacing w:after="0" w:line="269" w:lineRule="auto"/>
        <w:tabs>
          <w:tab w:leader="none" w:pos="251"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any Lien existing prior to the time of acquisition of any Principal Domestic Manufacturing Property acquired by us or one of our Principal Domestic Subsidiaries after the date of the Indenture through purchase, merger, consolidation or otherwise;</w:t>
      </w:r>
    </w:p>
    <w:p>
      <w:pPr>
        <w:ind w:left="260" w:hanging="260"/>
        <w:spacing w:after="0" w:line="269" w:lineRule="auto"/>
        <w:tabs>
          <w:tab w:leader="none" w:pos="251"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any Lien on any Principal Domestic Manufacturing Property (other than a Major Domestic Manufacturing Property) acquired or constructed by our company or a Principal Domestic Subsidiary after the date of the Indenture which is placed on such Property at the time of or within 180 days after the acquisition thereof or prior to, at the time of or within 180 days after completion of construction thereof to secure all or a portion of the price of such acquisition or construction or funds borrowed to pay all or a portion of the price of such acquisition or construction;</w:t>
      </w:r>
    </w:p>
    <w:p>
      <w:pPr>
        <w:spacing w:after="0" w:line="1" w:lineRule="exact"/>
        <w:rPr>
          <w:rFonts w:ascii="Arial" w:cs="Arial" w:eastAsia="Arial" w:hAnsi="Arial"/>
          <w:sz w:val="16"/>
          <w:szCs w:val="16"/>
          <w:color w:val="auto"/>
        </w:rPr>
      </w:pPr>
    </w:p>
    <w:p>
      <w:pPr>
        <w:ind w:left="260" w:right="140" w:hanging="260"/>
        <w:spacing w:after="0" w:line="269" w:lineRule="auto"/>
        <w:tabs>
          <w:tab w:leader="none" w:pos="251"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extensions, renewals or replacements of any Lien referred to in the first, third, fourth or fifth bullet points above to the extent that the principal amount of the Debt secured or evidenced thereby is not increased, provided that the Lien is not extended to any other Restricted Property;</w:t>
      </w:r>
    </w:p>
    <w:p>
      <w:pPr>
        <w:ind w:left="260" w:hanging="260"/>
        <w:spacing w:after="0" w:line="267" w:lineRule="auto"/>
        <w:tabs>
          <w:tab w:leader="none" w:pos="251"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Liens imposed by law, such as carriers’, warehousemen’s, mechanics’, materialmen’s, vendors’ and landlords’ liens, and liens arising out of judgments or awards against us or any of our Principal Domestic Subsidiaries with respect to which we or such Subsidiary at the time shall currently be prosecuting an appeal or proceedings for review and with respect to which it shall have secured a stay of execution pending such appeal or proceedings for review;</w:t>
      </w:r>
    </w:p>
    <w:p>
      <w:pPr>
        <w:spacing w:after="0" w:line="1" w:lineRule="exact"/>
        <w:rPr>
          <w:rFonts w:ascii="Arial" w:cs="Arial" w:eastAsia="Arial" w:hAnsi="Arial"/>
          <w:sz w:val="16"/>
          <w:szCs w:val="16"/>
          <w:color w:val="auto"/>
        </w:rPr>
      </w:pPr>
    </w:p>
    <w:p>
      <w:pPr>
        <w:jc w:val="both"/>
        <w:ind w:left="260" w:right="180" w:hanging="260"/>
        <w:spacing w:after="0" w:line="271" w:lineRule="auto"/>
        <w:tabs>
          <w:tab w:leader="none" w:pos="251"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Liens securing the payment of taxes, assessments and governmental charges or levies, either (1) not delinquent or (2) being contested in good faith by appropriate legal or administrative proceedings and as to which we or a Principal Domestic Subsidiary, as the case may be, to the extent required by generally accepted accounting principles applied on a consistent basis, shall have set aside on its books adequate reserves;</w:t>
      </w:r>
    </w:p>
    <w:p>
      <w:pPr>
        <w:ind w:left="260" w:right="180" w:hanging="260"/>
        <w:spacing w:after="0" w:line="269" w:lineRule="auto"/>
        <w:tabs>
          <w:tab w:leader="none" w:pos="251"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minor survey exceptions, minor encumbrances, easements or reservations of, or rights of others for, rights of way, sewers, electric lines, telegraph and telephone lines and other similar purposes and zoning or other restrictions as to the use of any Principal Domestic Manufacturing Property, which exceptions, encumbrances, easements, reservations, rights and restrictions do not, in our opinion, in the aggregate materially detract from the value of such Principal Domestic Manufacturing Property or materially impair its use in the operation of our business and that of our Principal Domestic Subsidiaries; and</w:t>
      </w:r>
    </w:p>
    <w:p>
      <w:pPr>
        <w:spacing w:after="0" w:line="1" w:lineRule="exact"/>
        <w:rPr>
          <w:rFonts w:ascii="Arial" w:cs="Arial" w:eastAsia="Arial" w:hAnsi="Arial"/>
          <w:sz w:val="16"/>
          <w:szCs w:val="16"/>
          <w:color w:val="auto"/>
        </w:rPr>
      </w:pPr>
    </w:p>
    <w:p>
      <w:pPr>
        <w:ind w:left="260" w:right="80" w:hanging="260"/>
        <w:spacing w:after="0" w:line="275" w:lineRule="auto"/>
        <w:tabs>
          <w:tab w:leader="none" w:pos="251"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any Lien on Restricted Property not referred to above if, at the time such Lien is created, incurred, assumed or suffered to be created, incurred or assumed, and after giving effect thereto and to the Debt secured or evidenced thereby, the aggregate amount of all our outstanding Debt together with that of our Principal Domestic Subsidiaries secured or evidenced by Liens on Restricted Property which are not referred to above and which do not equally and ratably secure the debt securities, shall not exceed 15% of Consolidated Net Tangible Assets.</w:t>
      </w:r>
    </w:p>
    <w:p>
      <w:pPr>
        <w:sectPr>
          <w:pgSz w:w="11900" w:h="16838" w:orient="portrait"/>
          <w:cols w:equalWidth="0" w:num="1">
            <w:col w:w="11000"/>
          </w:cols>
          <w:pgMar w:left="560" w:top="1150"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i w:val="1"/>
          <w:iCs w:val="1"/>
          <w:color w:val="auto"/>
        </w:rPr>
        <w:t>“Code</w:t>
      </w:r>
      <w:r>
        <w:rPr>
          <w:rFonts w:ascii="Times New Roman" w:cs="Times New Roman" w:eastAsia="Times New Roman" w:hAnsi="Times New Roman"/>
          <w:sz w:val="16"/>
          <w:szCs w:val="16"/>
          <w:color w:val="auto"/>
        </w:rPr>
        <w:t>” means the Internal Revenue Code of 1986, as amended.</w:t>
      </w:r>
    </w:p>
    <w:p>
      <w:pPr>
        <w:spacing w:after="0" w:line="166"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Consolidated Net Tangible Assets</w:t>
      </w:r>
      <w:r>
        <w:rPr>
          <w:rFonts w:ascii="Times New Roman" w:cs="Times New Roman" w:eastAsia="Times New Roman" w:hAnsi="Times New Roman"/>
          <w:sz w:val="16"/>
          <w:szCs w:val="16"/>
          <w:color w:val="auto"/>
        </w:rPr>
        <w:t>” means the aggregate amount of assets (less applicable reserves and other properly deductible items) after deducting therefrom (1) all current liabilities and (2) all goodwill, trade names, trademarks, patents, unamortized debt discount and expense and other like intangibles of ours and our consolidated subsidiaries, all as set forth on the most recent balance sheet of ours and our consolidated subsidiaries prepared in accordance with generally accepted accounting principles as practiced in the United States.</w:t>
      </w:r>
    </w:p>
    <w:p>
      <w:pPr>
        <w:spacing w:after="0" w:line="11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means (1) indebtedness for borrowed money, (2) obligations evidenced by bonds, debentures, notes or other similar instruments, (3) obligations to pay the deferred purchase price of property or services (other than accounts payable in the ordinary course of business), (4) obligations as a lessee under leases which shall have been or should be, in accordance with generally accepted accounting principles, recorded as capital leases, and (5) obligations under direct or indirect guaranties in respect of, and obligations (contingent or otherwise) to purchase or otherwise acquire, or otherwise to assure a creditor against loss in respect of, indebtedness or obligations of others of the kinds referred to in clauses (1) through (4) above.</w:t>
      </w:r>
    </w:p>
    <w:p>
      <w:pPr>
        <w:spacing w:after="0" w:line="120"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Domestic Subsidiary</w:t>
      </w:r>
      <w:r>
        <w:rPr>
          <w:rFonts w:ascii="Times New Roman" w:cs="Times New Roman" w:eastAsia="Times New Roman" w:hAnsi="Times New Roman"/>
          <w:sz w:val="16"/>
          <w:szCs w:val="16"/>
          <w:color w:val="auto"/>
        </w:rPr>
        <w:t>” means any Subsidiary a majority of the business of which is conducted within the United States of America, or a majority of the properties and assets of which are located within the United States of America, except any Subsidiary whose assets consist substantially of the securities of Subsidiaries which are not Domestic Subsidiaries.</w:t>
      </w:r>
    </w:p>
    <w:p>
      <w:pPr>
        <w:spacing w:after="0" w:line="113"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Instruments</w:t>
      </w:r>
      <w:r>
        <w:rPr>
          <w:rFonts w:ascii="Times New Roman" w:cs="Times New Roman" w:eastAsia="Times New Roman" w:hAnsi="Times New Roman"/>
          <w:sz w:val="16"/>
          <w:szCs w:val="16"/>
          <w:color w:val="auto"/>
        </w:rPr>
        <w:t>” of any corporation means and includes (1) all capital stock of all classes of and all other equity interests in such corporation and all rights, options or warrants to acquire the same, and (2) all promissory notes, debentures, bonds and other evidences of Debt of such corporation.</w:t>
      </w:r>
    </w:p>
    <w:p>
      <w:pPr>
        <w:spacing w:after="0" w:line="109" w:lineRule="exact"/>
        <w:rPr>
          <w:sz w:val="20"/>
          <w:szCs w:val="20"/>
          <w:color w:val="auto"/>
        </w:rPr>
      </w:pPr>
    </w:p>
    <w:p>
      <w:pPr>
        <w:ind w:right="34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Lien</w:t>
      </w:r>
      <w:r>
        <w:rPr>
          <w:rFonts w:ascii="Times New Roman" w:cs="Times New Roman" w:eastAsia="Times New Roman" w:hAnsi="Times New Roman"/>
          <w:sz w:val="16"/>
          <w:szCs w:val="16"/>
          <w:color w:val="auto"/>
        </w:rPr>
        <w:t>” means any mortgage, lien, pledge, security interest, encumbrance or charge of any kind, any conditional sale or other title retention agreement or any lease in the nature thereof, provided that the term “Lien” shall not include any lease involved in a sale and lease-back transaction.</w:t>
      </w:r>
    </w:p>
    <w:p>
      <w:pPr>
        <w:spacing w:after="0" w:line="87" w:lineRule="exact"/>
        <w:rPr>
          <w:sz w:val="20"/>
          <w:szCs w:val="20"/>
          <w:color w:val="auto"/>
        </w:rPr>
      </w:pPr>
    </w:p>
    <w:p>
      <w:pPr>
        <w:ind w:right="82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Major Domestic Manufacturing Property</w:t>
      </w:r>
      <w:r>
        <w:rPr>
          <w:rFonts w:ascii="Times New Roman" w:cs="Times New Roman" w:eastAsia="Times New Roman" w:hAnsi="Times New Roman"/>
          <w:sz w:val="16"/>
          <w:szCs w:val="16"/>
          <w:color w:val="auto"/>
        </w:rPr>
        <w:t>” means any Principal Domestic Manufacturing Property the net depreciated book value of which on the date as of which the determination is made exceeds 3% of the Consolidated Net Tangible Assets.</w:t>
      </w:r>
    </w:p>
    <w:p>
      <w:pPr>
        <w:spacing w:after="0" w:line="98"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Domestic Manufacturing Property</w:t>
      </w:r>
      <w:r>
        <w:rPr>
          <w:rFonts w:ascii="Times New Roman" w:cs="Times New Roman" w:eastAsia="Times New Roman" w:hAnsi="Times New Roman"/>
          <w:sz w:val="14"/>
          <w:szCs w:val="14"/>
          <w:color w:val="auto"/>
        </w:rPr>
        <w:t>” means any building, structure or facility (including the land on which it is located and the improvements and fixtures constituting a part thereof) used primarily for manufacturing or processing which is owned or leased by us or any of our Subsidiaries, is located in the United States of America and the net depreciated book value of which on the date as of which the determination is made exceeds 1% of Consolidated Net Tangible Assets, except any such building, structure or facility which our Board of Directors by resolution declares is not of material importance to the total business conducted by us and our Subsidiaries as an entirety.</w:t>
      </w:r>
    </w:p>
    <w:p>
      <w:pPr>
        <w:spacing w:after="0" w:line="8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Domestic Subsidiary</w:t>
      </w:r>
      <w:r>
        <w:rPr>
          <w:rFonts w:ascii="Times New Roman" w:cs="Times New Roman" w:eastAsia="Times New Roman" w:hAnsi="Times New Roman"/>
          <w:sz w:val="16"/>
          <w:szCs w:val="16"/>
          <w:color w:val="auto"/>
        </w:rPr>
        <w:t>” means (1) each Subsidiary which owns or leases a Principal Domestic Manufacturing Property, (2) each Domestic Subsidiary the consolidated net worth of which exceeds 3% of Consolidated Net Tangible Assets (as set forth in the most recent financial statements delivered pursuant to the Indenture) and (3) each Domestic Subsidiary of each Subsidiary referred to in the foregoing clause (1) or (2)</w:t>
      </w:r>
    </w:p>
    <w:p>
      <w:pPr>
        <w:sectPr>
          <w:pgSz w:w="11900" w:h="16838" w:orient="portrait"/>
          <w:cols w:equalWidth="0" w:num="1">
            <w:col w:w="11240"/>
          </w:cols>
          <w:pgMar w:left="300" w:top="1148"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color w:val="auto"/>
        </w:rPr>
        <w:t>except any such Subsidiary the accounts receivable and inventories of which have an aggregate net book value of less than $5,000,000.</w:t>
      </w:r>
    </w:p>
    <w:p>
      <w:pPr>
        <w:spacing w:after="0" w:line="16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Restricted Property</w:t>
      </w:r>
      <w:r>
        <w:rPr>
          <w:rFonts w:ascii="Times New Roman" w:cs="Times New Roman" w:eastAsia="Times New Roman" w:hAnsi="Times New Roman"/>
          <w:sz w:val="16"/>
          <w:szCs w:val="16"/>
          <w:color w:val="auto"/>
        </w:rPr>
        <w:t>” means and includes (1) all Principal Domestic Manufacturing Properties, (2) all Instruments of all Principal Domestic Subsidiaries and (3) all inventories and accounts receivable of ours and our Principal Domestic Subsidiaries.</w:t>
      </w:r>
    </w:p>
    <w:p>
      <w:pPr>
        <w:spacing w:after="0" w:line="109"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means any Corporation of which at the time of determination we or one or more of our Subsidiaries owns or controls directly or indirectly more than 50% of the shares of Voting Stock.</w:t>
      </w:r>
    </w:p>
    <w:p>
      <w:pPr>
        <w:spacing w:after="0" w:line="8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Voting Stock</w:t>
      </w:r>
      <w:r>
        <w:rPr>
          <w:rFonts w:ascii="Times New Roman" w:cs="Times New Roman" w:eastAsia="Times New Roman" w:hAnsi="Times New Roman"/>
          <w:sz w:val="16"/>
          <w:szCs w:val="16"/>
          <w:color w:val="auto"/>
        </w:rPr>
        <w:t>” means stock of a Corporation of the class or classes having general voting power under ordinary circumstances to elect at least a majority of the board of directors, managers or trustees of such Corporation, provided that, for this purpose, stock which carries only the right to vote conditionally on the happening of an event shall not be considered voting stock whether or not such event shall have happened.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capitalized terms used but not defined shall have the meaning given those terms in the Indenture.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Trustee for the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Bank of New York Mellon serves as trustee under the Indenture and is the security registrar and paying agent with respect to the debt securities.</w:t>
      </w:r>
    </w:p>
    <w:p>
      <w:pPr>
        <w:spacing w:after="0" w:line="166" w:lineRule="exact"/>
        <w:rPr>
          <w:sz w:val="20"/>
          <w:szCs w:val="20"/>
          <w:color w:val="auto"/>
        </w:rPr>
      </w:pPr>
    </w:p>
    <w:p>
      <w:pPr>
        <w:jc w:val="both"/>
        <w:ind w:right="500"/>
        <w:spacing w:after="0" w:line="339" w:lineRule="auto"/>
        <w:rPr>
          <w:sz w:val="20"/>
          <w:szCs w:val="20"/>
          <w:color w:val="auto"/>
        </w:rPr>
      </w:pPr>
      <w:r>
        <w:rPr>
          <w:rFonts w:ascii="Times New Roman" w:cs="Times New Roman" w:eastAsia="Times New Roman" w:hAnsi="Times New Roman"/>
          <w:sz w:val="14"/>
          <w:szCs w:val="14"/>
          <w:color w:val="auto"/>
        </w:rPr>
        <w:t>The Indenture contains certain limitations on the right of the trustee, should it become a creditor of ours, to obtain payment of claims in certain cases, or to realize on certain property received in respect of any such claim as security or otherwise. The trustee is permitted to engage in other transactions with us; provided, however, that if the trustee acquires any conflicting interest it must eliminate such conflict or resign. We have banking relationships with The Bank of New York Mellon and certain of its affiliates.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Governing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Indenture and the debt securities are governed by, and construed in accordance with, the laws of the State of New York.</w:t>
      </w:r>
    </w:p>
    <w:p>
      <w:pPr>
        <w:sectPr>
          <w:pgSz w:w="11900" w:h="16838" w:orient="portrait"/>
          <w:cols w:equalWidth="0" w:num="1">
            <w:col w:w="11240"/>
          </w:cols>
          <w:pgMar w:left="300" w:top="1150" w:right="359" w:bottom="1440"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7"/>
          <w:szCs w:val="17"/>
          <w:color w:val="auto"/>
        </w:rPr>
        <w:t>EXHIBIT 10-J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COLGATE-PALMOLIVE COMPANY</w:t>
      </w:r>
    </w:p>
    <w:p>
      <w:pPr>
        <w:spacing w:after="0" w:line="1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SUPPLEMENTAL SAVINGS AND INVESTMENT PLAN</w:t>
      </w:r>
    </w:p>
    <w:p>
      <w:pPr>
        <w:spacing w:after="0" w:line="36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Amended and Restated Effective as of January 1, 2022</w:t>
      </w:r>
    </w:p>
    <w:p>
      <w:pPr>
        <w:sectPr>
          <w:pgSz w:w="11900" w:h="16838" w:orient="portrait"/>
          <w:cols w:equalWidth="0" w:num="1">
            <w:col w:w="10140"/>
          </w:cols>
          <w:pgMar w:left="1440" w:top="108" w:right="31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7"/>
          <w:szCs w:val="17"/>
          <w:color w:val="auto"/>
        </w:rPr>
        <w:t>EXHIBIT 10-J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TABLE OF CONTENTS</w:t>
      </w:r>
    </w:p>
    <w:tbl>
      <w:tblPr>
        <w:tblLayout w:type="fixed"/>
        <w:tblInd w:w="0" w:type="dxa"/>
        <w:tblCellMar>
          <w:top w:w="0" w:type="dxa"/>
          <w:left w:w="0" w:type="dxa"/>
          <w:bottom w:w="0" w:type="dxa"/>
          <w:right w:w="0" w:type="dxa"/>
        </w:tblCellMar>
      </w:tblPr>
      <w:tr>
        <w:trPr>
          <w:trHeight w:val="223"/>
        </w:trPr>
        <w:tc>
          <w:tcPr>
            <w:tcW w:w="8580" w:type="dxa"/>
            <w:vAlign w:val="bottom"/>
          </w:tcPr>
          <w:p>
            <w:pPr>
              <w:spacing w:after="0"/>
              <w:rPr>
                <w:sz w:val="19"/>
                <w:szCs w:val="19"/>
                <w:color w:val="auto"/>
              </w:rPr>
            </w:pPr>
          </w:p>
        </w:tc>
        <w:tc>
          <w:tcPr>
            <w:tcW w:w="2640" w:type="dxa"/>
            <w:vAlign w:val="bottom"/>
          </w:tcPr>
          <w:p>
            <w:pPr>
              <w:ind w:left="2180"/>
              <w:spacing w:after="0"/>
              <w:rPr>
                <w:sz w:val="20"/>
                <w:szCs w:val="20"/>
                <w:color w:val="auto"/>
              </w:rPr>
            </w:pPr>
            <w:r>
              <w:rPr>
                <w:rFonts w:ascii="Times New Roman" w:cs="Times New Roman" w:eastAsia="Times New Roman" w:hAnsi="Times New Roman"/>
                <w:sz w:val="17"/>
                <w:szCs w:val="17"/>
                <w:b w:val="1"/>
                <w:bCs w:val="1"/>
                <w:color w:val="auto"/>
                <w:w w:val="93"/>
              </w:rPr>
              <w:t>PAGE</w:t>
            </w:r>
          </w:p>
        </w:tc>
      </w:tr>
      <w:tr>
        <w:trPr>
          <w:trHeight w:val="561"/>
        </w:trPr>
        <w:tc>
          <w:tcPr>
            <w:tcW w:w="8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ARTICLE 1. INTRODUCTION ……………………………………………………………….</w:t>
            </w:r>
          </w:p>
        </w:tc>
        <w:tc>
          <w:tcPr>
            <w:tcW w:w="26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8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ARTICLE 2. DEFINITIONS …………………………………………………………………..</w:t>
            </w:r>
          </w:p>
        </w:tc>
        <w:tc>
          <w:tcPr>
            <w:tcW w:w="26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8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ARTICLE 3. BENEFITS ……………………………………………………………………….</w:t>
            </w:r>
          </w:p>
        </w:tc>
        <w:tc>
          <w:tcPr>
            <w:tcW w:w="26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8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ARTICLE 4. PLAN ADMINISTRATION …………………………………………………...</w:t>
            </w:r>
          </w:p>
        </w:tc>
        <w:tc>
          <w:tcPr>
            <w:tcW w:w="26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8</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APPENDIX A ………………………………………………………………………………….</w:t>
            </w:r>
          </w:p>
        </w:tc>
        <w:tc>
          <w:tcPr>
            <w:tcW w:w="26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16</w:t>
            </w:r>
          </w:p>
        </w:tc>
      </w:tr>
    </w:tbl>
    <w:p>
      <w:pPr>
        <w:sectPr>
          <w:pgSz w:w="11900" w:h="16838" w:orient="portrait"/>
          <w:cols w:equalWidth="0" w:num="1">
            <w:col w:w="11220"/>
          </w:cols>
          <w:pgMar w:left="360" w:top="108" w:right="319" w:bottom="1440" w:gutter="0" w:footer="0" w:header="0"/>
        </w:sectPr>
      </w:pPr>
    </w:p>
    <w:bookmarkStart w:id="258" w:name="page259"/>
    <w:bookmarkEnd w:id="258"/>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COLGATE-PALMOLIVE COMPANY</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SUPPLEMENTAL SAVINGS AND INVESTMENT PLAN</w:t>
      </w:r>
    </w:p>
    <w:p>
      <w:pPr>
        <w:spacing w:after="0" w:line="265" w:lineRule="exact"/>
        <w:rPr>
          <w:sz w:val="20"/>
          <w:szCs w:val="20"/>
          <w:color w:val="auto"/>
        </w:rPr>
      </w:pPr>
    </w:p>
    <w:p>
      <w:pPr>
        <w:jc w:val="both"/>
        <w:ind w:right="100" w:firstLine="509"/>
        <w:spacing w:after="0" w:line="480" w:lineRule="auto"/>
        <w:rPr>
          <w:sz w:val="20"/>
          <w:szCs w:val="20"/>
          <w:color w:val="auto"/>
        </w:rPr>
      </w:pPr>
      <w:r>
        <w:rPr>
          <w:rFonts w:ascii="Times New Roman" w:cs="Times New Roman" w:eastAsia="Times New Roman" w:hAnsi="Times New Roman"/>
          <w:sz w:val="17"/>
          <w:szCs w:val="17"/>
          <w:color w:val="auto"/>
        </w:rPr>
        <w:t>Colgate-Palmolive Company hereby continues the Colgate-Palmolive Company Supplemental Savings and Investment Plan, a non-qualified, unfunded plan which it maintains to provide Eligible Employees with a benefit which, in the absence of certain limitations imposed by the Code, would have been provided under the Colgate-Palmolive Company Employees Savings and Investment Plan.</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ARTICLE 1 INTRODUCTION</w:t>
      </w:r>
    </w:p>
    <w:p>
      <w:pPr>
        <w:spacing w:after="0" w:line="201"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6"/>
          <w:szCs w:val="16"/>
          <w:u w:val="single" w:color="auto"/>
          <w:color w:val="auto"/>
        </w:rPr>
        <w:t>Name of Plan</w:t>
      </w:r>
      <w:r>
        <w:rPr>
          <w:rFonts w:ascii="Times New Roman" w:cs="Times New Roman" w:eastAsia="Times New Roman" w:hAnsi="Times New Roman"/>
          <w:sz w:val="16"/>
          <w:szCs w:val="16"/>
          <w:color w:val="auto"/>
        </w:rPr>
        <w:t>. The name of this Plan is the “Colgate-Palmolive Company Supplemental Savings and Investment Plan”.</w:t>
      </w:r>
    </w:p>
    <w:p>
      <w:pPr>
        <w:spacing w:after="0" w:line="208" w:lineRule="exact"/>
        <w:rPr>
          <w:sz w:val="20"/>
          <w:szCs w:val="20"/>
          <w:color w:val="auto"/>
        </w:rPr>
      </w:pPr>
    </w:p>
    <w:p>
      <w:pPr>
        <w:jc w:val="both"/>
        <w:ind w:right="100" w:firstLine="509"/>
        <w:spacing w:after="0" w:line="512"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The original effective date of this Plan was January 1, 1991. The Plan was most recently amended and restated effective as of January 1, 2021, except as otherwise provided therein. The Plan is amended and restated again effective as of January 1, 2022, except as otherwise provided herein.</w:t>
      </w:r>
    </w:p>
    <w:p>
      <w:pPr>
        <w:ind w:firstLine="509"/>
        <w:spacing w:after="0" w:line="479"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ERISA Status</w:t>
      </w:r>
      <w:r>
        <w:rPr>
          <w:rFonts w:ascii="Times New Roman" w:cs="Times New Roman" w:eastAsia="Times New Roman" w:hAnsi="Times New Roman"/>
          <w:sz w:val="17"/>
          <w:szCs w:val="17"/>
          <w:color w:val="auto"/>
        </w:rPr>
        <w:t>. This Plan is intended to be an unfunded plan for the benefit of a select group of management or highly compensated employees exempt from parts 2, 3, and 4 of Title I of the Employee Retirement Income Security Act of 1974, as amended.</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ARTICLE 2 DEFINITIONS</w:t>
      </w:r>
    </w:p>
    <w:p>
      <w:pPr>
        <w:spacing w:after="0" w:line="201" w:lineRule="exact"/>
        <w:rPr>
          <w:sz w:val="20"/>
          <w:szCs w:val="20"/>
          <w:color w:val="auto"/>
        </w:rPr>
      </w:pPr>
    </w:p>
    <w:p>
      <w:pPr>
        <w:ind w:right="120" w:firstLine="509"/>
        <w:spacing w:after="0" w:line="481" w:lineRule="auto"/>
        <w:rPr>
          <w:sz w:val="20"/>
          <w:szCs w:val="20"/>
          <w:color w:val="auto"/>
        </w:rPr>
      </w:pPr>
      <w:r>
        <w:rPr>
          <w:rFonts w:ascii="Times New Roman" w:cs="Times New Roman" w:eastAsia="Times New Roman" w:hAnsi="Times New Roman"/>
          <w:sz w:val="17"/>
          <w:szCs w:val="17"/>
          <w:color w:val="auto"/>
        </w:rPr>
        <w:t>Capitalized terms that are not defined herein shall have the meaning given to them in the Base Plan. Whenever reference is made herein to “this Plan”, such reference shall be to this Colgate-Palmolive Company Supplemental Savings and Investment Plan.</w:t>
      </w:r>
    </w:p>
    <w:p>
      <w:pPr>
        <w:spacing w:after="0" w:line="2" w:lineRule="exact"/>
        <w:rPr>
          <w:sz w:val="20"/>
          <w:szCs w:val="20"/>
          <w:color w:val="auto"/>
        </w:rPr>
      </w:pPr>
    </w:p>
    <w:p>
      <w:pPr>
        <w:ind w:right="60" w:firstLine="509"/>
        <w:spacing w:after="0" w:line="511" w:lineRule="auto"/>
        <w:rPr>
          <w:sz w:val="20"/>
          <w:szCs w:val="20"/>
          <w:color w:val="auto"/>
        </w:rPr>
      </w:pPr>
      <w:r>
        <w:rPr>
          <w:rFonts w:ascii="Times New Roman" w:cs="Times New Roman" w:eastAsia="Times New Roman" w:hAnsi="Times New Roman"/>
          <w:sz w:val="17"/>
          <w:szCs w:val="17"/>
          <w:color w:val="auto"/>
        </w:rPr>
        <w:t>Section 2.1 “</w:t>
      </w:r>
      <w:r>
        <w:rPr>
          <w:rFonts w:ascii="Times New Roman" w:cs="Times New Roman" w:eastAsia="Times New Roman" w:hAnsi="Times New Roman"/>
          <w:sz w:val="17"/>
          <w:szCs w:val="17"/>
          <w:u w:val="single" w:color="auto"/>
          <w:color w:val="auto"/>
        </w:rPr>
        <w:t>Account</w:t>
      </w:r>
      <w:r>
        <w:rPr>
          <w:rFonts w:ascii="Times New Roman" w:cs="Times New Roman" w:eastAsia="Times New Roman" w:hAnsi="Times New Roman"/>
          <w:sz w:val="17"/>
          <w:szCs w:val="17"/>
          <w:color w:val="auto"/>
        </w:rPr>
        <w:t>” shall mean a separate account maintained for a Member to record the Allocation that is deferred under Section 3.4 of the Plan, and the earnings and losses allocable thereto. Separate sub-accounts shall be maintained within the Account for each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20"/>
          </w:cols>
          <w:pgMar w:left="300" w:top="1123" w:right="379" w:bottom="1440" w:gutter="0" w:footer="0" w:header="0"/>
        </w:sectPr>
      </w:pPr>
    </w:p>
    <w:bookmarkStart w:id="259" w:name="page260"/>
    <w:bookmarkEnd w:id="259"/>
    <w:p>
      <w:pPr>
        <w:spacing w:after="0" w:line="481" w:lineRule="auto"/>
        <w:rPr>
          <w:sz w:val="20"/>
          <w:szCs w:val="20"/>
          <w:color w:val="auto"/>
        </w:rPr>
      </w:pPr>
      <w:r>
        <w:rPr>
          <w:rFonts w:ascii="Times New Roman" w:cs="Times New Roman" w:eastAsia="Times New Roman" w:hAnsi="Times New Roman"/>
          <w:sz w:val="17"/>
          <w:szCs w:val="17"/>
          <w:color w:val="auto"/>
        </w:rPr>
        <w:t>Member to reflect the aggregate Allocations deferred for Plan Years: (a) 1991 through 2002; (b) 2003 through 2009, plus the Allocations for 2010 attributable to Company Matching Contributions; and (c) 2011 and later, plus the portion of the 2010 Allocations not included in (b) above, and in each case the respective earnings and losses thereon.</w:t>
      </w:r>
    </w:p>
    <w:p>
      <w:pPr>
        <w:spacing w:after="0" w:line="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2.2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Allocations</w:t>
      </w:r>
      <w:r>
        <w:rPr>
          <w:rFonts w:ascii="Times New Roman" w:cs="Times New Roman" w:eastAsia="Times New Roman" w:hAnsi="Times New Roman"/>
          <w:sz w:val="16"/>
          <w:szCs w:val="16"/>
          <w:color w:val="auto"/>
        </w:rPr>
        <w:t>” shall mean the amount determined under Section 3.2 below for any applicable period.</w:t>
      </w:r>
    </w:p>
    <w:p>
      <w:pPr>
        <w:spacing w:after="0" w:line="197"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2.3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Base Plan</w:t>
      </w:r>
      <w:r>
        <w:rPr>
          <w:rFonts w:ascii="Times New Roman" w:cs="Times New Roman" w:eastAsia="Times New Roman" w:hAnsi="Times New Roman"/>
          <w:sz w:val="16"/>
          <w:szCs w:val="16"/>
          <w:color w:val="auto"/>
        </w:rPr>
        <w:t>” shall mean the Colgate-Palmolive Company Employees Savings and Investment Plan, as amended from time to time.</w:t>
      </w:r>
    </w:p>
    <w:p>
      <w:pPr>
        <w:spacing w:after="0" w:line="208" w:lineRule="exact"/>
        <w:rPr>
          <w:sz w:val="20"/>
          <w:szCs w:val="20"/>
          <w:color w:val="auto"/>
        </w:rPr>
      </w:pPr>
    </w:p>
    <w:p>
      <w:pPr>
        <w:ind w:firstLine="509"/>
        <w:spacing w:after="0" w:line="481" w:lineRule="auto"/>
        <w:rPr>
          <w:sz w:val="20"/>
          <w:szCs w:val="20"/>
          <w:color w:val="auto"/>
        </w:rPr>
      </w:pPr>
      <w:r>
        <w:rPr>
          <w:rFonts w:ascii="Times New Roman" w:cs="Times New Roman" w:eastAsia="Times New Roman" w:hAnsi="Times New Roman"/>
          <w:sz w:val="17"/>
          <w:szCs w:val="17"/>
          <w:color w:val="auto"/>
        </w:rPr>
        <w:t>Section 2.4 “</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shall have the meaning given to such term under the Colgate-Palmolive Company Executive Severance Plan, as amended from time to time.</w:t>
      </w:r>
    </w:p>
    <w:p>
      <w:pPr>
        <w:spacing w:after="0" w:line="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2.5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Deferred Allocation</w:t>
      </w:r>
      <w:r>
        <w:rPr>
          <w:rFonts w:ascii="Times New Roman" w:cs="Times New Roman" w:eastAsia="Times New Roman" w:hAnsi="Times New Roman"/>
          <w:sz w:val="16"/>
          <w:szCs w:val="16"/>
          <w:color w:val="auto"/>
        </w:rPr>
        <w:t>” shall mean the amount described in Section 3.4 below.</w:t>
      </w:r>
    </w:p>
    <w:p>
      <w:pPr>
        <w:spacing w:after="0" w:line="197"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2.6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EICP ABRC Member</w:t>
      </w:r>
      <w:r>
        <w:rPr>
          <w:rFonts w:ascii="Times New Roman" w:cs="Times New Roman" w:eastAsia="Times New Roman" w:hAnsi="Times New Roman"/>
          <w:sz w:val="16"/>
          <w:szCs w:val="16"/>
          <w:color w:val="auto"/>
        </w:rPr>
        <w:t>” shall mean an EICP ABRC Member as defined under Section 4.1(d) of the Base Plan.</w:t>
      </w:r>
    </w:p>
    <w:p>
      <w:pPr>
        <w:spacing w:after="0" w:line="197" w:lineRule="exact"/>
        <w:rPr>
          <w:sz w:val="20"/>
          <w:szCs w:val="20"/>
          <w:color w:val="auto"/>
        </w:rPr>
      </w:pPr>
    </w:p>
    <w:p>
      <w:pPr>
        <w:ind w:firstLine="509"/>
        <w:spacing w:after="0" w:line="490" w:lineRule="auto"/>
        <w:rPr>
          <w:sz w:val="20"/>
          <w:szCs w:val="20"/>
          <w:color w:val="auto"/>
        </w:rPr>
      </w:pPr>
      <w:r>
        <w:rPr>
          <w:rFonts w:ascii="Times New Roman" w:cs="Times New Roman" w:eastAsia="Times New Roman" w:hAnsi="Times New Roman"/>
          <w:sz w:val="17"/>
          <w:szCs w:val="17"/>
          <w:color w:val="auto"/>
        </w:rPr>
        <w:t>Section 2.7 “</w:t>
      </w:r>
      <w:r>
        <w:rPr>
          <w:rFonts w:ascii="Times New Roman" w:cs="Times New Roman" w:eastAsia="Times New Roman" w:hAnsi="Times New Roman"/>
          <w:sz w:val="17"/>
          <w:szCs w:val="17"/>
          <w:u w:val="single" w:color="auto"/>
          <w:color w:val="auto"/>
        </w:rPr>
        <w:t>Eligible Employee</w:t>
      </w:r>
      <w:r>
        <w:rPr>
          <w:rFonts w:ascii="Times New Roman" w:cs="Times New Roman" w:eastAsia="Times New Roman" w:hAnsi="Times New Roman"/>
          <w:sz w:val="17"/>
          <w:szCs w:val="17"/>
          <w:color w:val="auto"/>
        </w:rPr>
        <w:t>” shall mean (I) for Plan Years prior to 2011 (a) a non-union person who is employed by the Employer on a full-time or part-time basis as of January 1 of a Plan Year and is, or is expected to become, eligible to participate in the Base Plan during the Plan Year, or (b) a Third Country National or United States Employee in Foreign Service as of January 1 of a Plan Year who is eligible to participate in the Base Plan, and whose Recognized Earnings for such Plan Year in either case are expected to be limited by Code section 401(a)(17); (II) for Plan Years beginning on or after January 1, 2011, “Eligible Employee” shall mean (a) a non-union person who is employed by the Employer on a full-time or part-time basis and is eligible to participate in the Base Plan, or (b) a Third Country National or United States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00" w:top="1243" w:right="359" w:bottom="1440" w:gutter="0" w:footer="0" w:header="0"/>
        </w:sectPr>
      </w:pPr>
    </w:p>
    <w:bookmarkStart w:id="260" w:name="page261"/>
    <w:bookmarkEnd w:id="260"/>
    <w:p>
      <w:pPr>
        <w:ind w:right="80"/>
        <w:spacing w:after="0" w:line="481" w:lineRule="auto"/>
        <w:rPr>
          <w:sz w:val="20"/>
          <w:szCs w:val="20"/>
          <w:color w:val="auto"/>
        </w:rPr>
      </w:pPr>
      <w:r>
        <w:rPr>
          <w:rFonts w:ascii="Times New Roman" w:cs="Times New Roman" w:eastAsia="Times New Roman" w:hAnsi="Times New Roman"/>
          <w:sz w:val="17"/>
          <w:szCs w:val="17"/>
          <w:color w:val="auto"/>
        </w:rPr>
        <w:t>Employee in Foreign Service who is eligible to participate in the Base Plan, and whose Eligible Earnings (or for Plan Years prior to January 1, 2022, Recognized Earnings) in either case are limited by Code section 401(a)(17); (III) for Plan Years beginning on or after January 1, 2020, an EICP ABRC Member; or (IV) for Plan Years beginning on or after January 1, 2022, a Third Country National or United States Employee in Foreign Service who earns Eligible Bonuses during the applicable Plan Year.</w:t>
      </w:r>
    </w:p>
    <w:p>
      <w:pPr>
        <w:spacing w:after="0" w:line="3" w:lineRule="exact"/>
        <w:rPr>
          <w:sz w:val="20"/>
          <w:szCs w:val="20"/>
          <w:color w:val="auto"/>
        </w:rPr>
      </w:pPr>
    </w:p>
    <w:p>
      <w:pPr>
        <w:ind w:right="20" w:firstLine="509"/>
        <w:spacing w:after="0" w:line="488" w:lineRule="auto"/>
        <w:rPr>
          <w:sz w:val="20"/>
          <w:szCs w:val="20"/>
          <w:color w:val="auto"/>
        </w:rPr>
      </w:pPr>
      <w:r>
        <w:rPr>
          <w:rFonts w:ascii="Times New Roman" w:cs="Times New Roman" w:eastAsia="Times New Roman" w:hAnsi="Times New Roman"/>
          <w:sz w:val="17"/>
          <w:szCs w:val="17"/>
          <w:color w:val="auto"/>
        </w:rPr>
        <w:t>Section 2.8 “</w:t>
      </w:r>
      <w:r>
        <w:rPr>
          <w:rFonts w:ascii="Times New Roman" w:cs="Times New Roman" w:eastAsia="Times New Roman" w:hAnsi="Times New Roman"/>
          <w:sz w:val="17"/>
          <w:szCs w:val="17"/>
          <w:u w:val="single" w:color="auto"/>
          <w:color w:val="auto"/>
        </w:rPr>
        <w:t>Grandfathered Benefit</w:t>
      </w:r>
      <w:r>
        <w:rPr>
          <w:rFonts w:ascii="Times New Roman" w:cs="Times New Roman" w:eastAsia="Times New Roman" w:hAnsi="Times New Roman"/>
          <w:sz w:val="17"/>
          <w:szCs w:val="17"/>
          <w:color w:val="auto"/>
        </w:rPr>
        <w:t>” shall mean the portion of the Member’s Account that reflects the Allocations deferred for Plan Years prior to 2005, as adjusted for earnings and losses thereon.</w:t>
      </w:r>
    </w:p>
    <w:p>
      <w:pPr>
        <w:spacing w:after="0" w:line="1" w:lineRule="exact"/>
        <w:rPr>
          <w:sz w:val="20"/>
          <w:szCs w:val="20"/>
          <w:color w:val="auto"/>
        </w:rPr>
      </w:pPr>
    </w:p>
    <w:p>
      <w:pPr>
        <w:ind w:firstLine="509"/>
        <w:spacing w:after="0" w:line="481" w:lineRule="auto"/>
        <w:rPr>
          <w:sz w:val="20"/>
          <w:szCs w:val="20"/>
          <w:color w:val="auto"/>
        </w:rPr>
      </w:pPr>
      <w:r>
        <w:rPr>
          <w:rFonts w:ascii="Times New Roman" w:cs="Times New Roman" w:eastAsia="Times New Roman" w:hAnsi="Times New Roman"/>
          <w:sz w:val="17"/>
          <w:szCs w:val="17"/>
          <w:color w:val="auto"/>
        </w:rPr>
        <w:t>Section 2.9 “</w:t>
      </w:r>
      <w:r>
        <w:rPr>
          <w:rFonts w:ascii="Times New Roman" w:cs="Times New Roman" w:eastAsia="Times New Roman" w:hAnsi="Times New Roman"/>
          <w:sz w:val="17"/>
          <w:szCs w:val="17"/>
          <w:u w:val="single" w:color="auto"/>
          <w:color w:val="auto"/>
        </w:rPr>
        <w:t>Member</w:t>
      </w:r>
      <w:r>
        <w:rPr>
          <w:rFonts w:ascii="Times New Roman" w:cs="Times New Roman" w:eastAsia="Times New Roman" w:hAnsi="Times New Roman"/>
          <w:sz w:val="17"/>
          <w:szCs w:val="17"/>
          <w:color w:val="auto"/>
        </w:rPr>
        <w:t>” shall mean an Eligible Employee who participates in this Plan pursuant to Article III. An Eligible Employee shall remain a Member under this Plan until all amounts credited to his Account under this Plan have been paid.</w:t>
      </w:r>
    </w:p>
    <w:p>
      <w:pPr>
        <w:spacing w:after="0" w:line="2" w:lineRule="exact"/>
        <w:rPr>
          <w:sz w:val="20"/>
          <w:szCs w:val="20"/>
          <w:color w:val="auto"/>
        </w:rPr>
      </w:pPr>
    </w:p>
    <w:p>
      <w:pPr>
        <w:ind w:right="140" w:firstLine="509"/>
        <w:spacing w:after="0" w:line="479" w:lineRule="auto"/>
        <w:rPr>
          <w:sz w:val="20"/>
          <w:szCs w:val="20"/>
          <w:color w:val="auto"/>
        </w:rPr>
      </w:pPr>
      <w:r>
        <w:rPr>
          <w:rFonts w:ascii="Times New Roman" w:cs="Times New Roman" w:eastAsia="Times New Roman" w:hAnsi="Times New Roman"/>
          <w:sz w:val="17"/>
          <w:szCs w:val="17"/>
          <w:color w:val="auto"/>
        </w:rPr>
        <w:t>Section 2.10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shall mean a domestic or foreign company, at least 50% of whose issued and outstanding voting shares are directly or indirectly owned or controlled by the Company.</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3 BENEFITS</w:t>
      </w:r>
    </w:p>
    <w:p>
      <w:pPr>
        <w:spacing w:after="0" w:line="201" w:lineRule="exact"/>
        <w:rPr>
          <w:sz w:val="20"/>
          <w:szCs w:val="20"/>
          <w:color w:val="auto"/>
        </w:rPr>
      </w:pPr>
    </w:p>
    <w:p>
      <w:pPr>
        <w:ind w:right="40" w:firstLine="509"/>
        <w:spacing w:after="0" w:line="492"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 An Eligible Employee will participate in this Plan if Eligible Earnings (or for Plan Years prior to January 1, 2022, Recognized Earnings), as determined under the Base Plan, are limited by Code section 401(a)(17). Effective for Plan Years beginning on or after January 1, 2020, an Eligible Employee who is an EICP ABRC Member will also participate in this Plan. Effective for Plan Years beginning on or after January 1, 2022, an Eligible Employee who is a Third Country National or United States in Foreign Service who earns Eligible Bonuses during the applicable Plan Year will also participate in the Plan. For any Plan</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00" w:top="1243" w:right="339" w:bottom="1440" w:gutter="0" w:footer="0" w:header="0"/>
        </w:sectPr>
      </w:pPr>
    </w:p>
    <w:bookmarkStart w:id="261" w:name="page262"/>
    <w:bookmarkEnd w:id="261"/>
    <w:p>
      <w:pPr>
        <w:spacing w:after="0" w:line="481" w:lineRule="auto"/>
        <w:rPr>
          <w:sz w:val="20"/>
          <w:szCs w:val="20"/>
          <w:color w:val="auto"/>
        </w:rPr>
      </w:pPr>
      <w:r>
        <w:rPr>
          <w:rFonts w:ascii="Times New Roman" w:cs="Times New Roman" w:eastAsia="Times New Roman" w:hAnsi="Times New Roman"/>
          <w:sz w:val="17"/>
          <w:szCs w:val="17"/>
          <w:color w:val="auto"/>
        </w:rPr>
        <w:t>Year for which a deferral election under Section 3.4 was permitted, a person who was hired and became an Eligible Employee after January 1 of such Plan Year was not eligible to make a deferral election until the election for the following Plan Year.</w:t>
      </w:r>
    </w:p>
    <w:p>
      <w:pPr>
        <w:spacing w:after="0" w:line="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3.2</w:t>
      </w:r>
      <w:r>
        <w:rPr>
          <w:sz w:val="20"/>
          <w:szCs w:val="20"/>
          <w:color w:val="auto"/>
        </w:rPr>
        <w:tab/>
      </w:r>
      <w:r>
        <w:rPr>
          <w:rFonts w:ascii="Times New Roman" w:cs="Times New Roman" w:eastAsia="Times New Roman" w:hAnsi="Times New Roman"/>
          <w:sz w:val="16"/>
          <w:szCs w:val="16"/>
          <w:u w:val="single" w:color="auto"/>
          <w:color w:val="auto"/>
        </w:rPr>
        <w:t>Amount of Allocations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1540" w:hanging="517"/>
        <w:spacing w:after="0"/>
        <w:tabs>
          <w:tab w:leader="none" w:pos="15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Plan Years prior to January 1, 2022, a Member’s Allocation for any applicable period shall be equal to the difference between (a) and (b)</w:t>
      </w:r>
    </w:p>
    <w:p>
      <w:pPr>
        <w:spacing w:after="0" w:line="197" w:lineRule="exact"/>
        <w:rPr>
          <w:rFonts w:ascii="Times New Roman" w:cs="Times New Roman" w:eastAsia="Times New Roman" w:hAnsi="Times New Roman"/>
          <w:sz w:val="17"/>
          <w:szCs w:val="17"/>
          <w:color w:val="auto"/>
        </w:rPr>
      </w:pPr>
    </w:p>
    <w:p>
      <w:pPr>
        <w:ind w:right="140"/>
        <w:spacing w:after="0" w:line="51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below where: (a) is the sum of (i) the Company Matching Contribution based on the Member’s elected percentage under the Base Plan (for the 2010 Plan Year, determined as of the first day of such Plan Year) and (ii) the Member’s Basic Retirement Contributions and Additional Basic Retirement Contributions that would have been made under the Base Plan for the applicable period on behalf of such Member, in each case determined (x) without regard to the provision in Section</w:t>
      </w:r>
    </w:p>
    <w:p>
      <w:pPr>
        <w:spacing w:after="0" w:line="1" w:lineRule="exact"/>
        <w:rPr>
          <w:rFonts w:ascii="Times New Roman" w:cs="Times New Roman" w:eastAsia="Times New Roman" w:hAnsi="Times New Roman"/>
          <w:sz w:val="17"/>
          <w:szCs w:val="17"/>
          <w:color w:val="auto"/>
        </w:rPr>
      </w:pPr>
    </w:p>
    <w:p>
      <w:pPr>
        <w:ind w:right="60"/>
        <w:spacing w:after="0" w:line="4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4.1(d) of the Base Plan that excludes EICP ABRC Members from eligibility for Additional Basic Retirement Contributions thereunder and (y) as if the Recognized Earnings used in calculating such contributions were not limited by Code section 401(a)(17); and (b) is the Company Matching Contribution, Basic Retirement Contributions and Additional Basic Retirements Contributions actually made under the Base Plan for such period. For the 2010 Plan Year, Company Matching Contributions under (a)(i) and (b) above shall be based on the matching contribution formula in effect under the Base Plan on January 1, 2010; and the Company Matching Contribution under (b) above shall be determined on the basis of the same elected percentage as in (a) but with the Recognized Earnings subject to such elected percentage limited by Code section 401(a)(17).</w:t>
      </w:r>
    </w:p>
    <w:p>
      <w:pPr>
        <w:spacing w:after="0" w:line="4" w:lineRule="exact"/>
        <w:rPr>
          <w:rFonts w:ascii="Times New Roman" w:cs="Times New Roman" w:eastAsia="Times New Roman" w:hAnsi="Times New Roman"/>
          <w:sz w:val="17"/>
          <w:szCs w:val="17"/>
          <w:color w:val="auto"/>
        </w:rPr>
      </w:pPr>
    </w:p>
    <w:p>
      <w:pPr>
        <w:ind w:right="500" w:firstLine="1023"/>
        <w:spacing w:after="0" w:line="524" w:lineRule="auto"/>
        <w:tabs>
          <w:tab w:leader="none" w:pos="152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Plan Years on or after January 1, 2022, a Member’s Allocation for any applicable period shall be equal to the sum of the following amounts, as applicable:</w:t>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60"/>
          </w:cols>
          <w:pgMar w:left="300" w:top="1243" w:right="439" w:bottom="1440" w:gutter="0" w:footer="0" w:header="0"/>
        </w:sectPr>
      </w:pPr>
    </w:p>
    <w:bookmarkStart w:id="262" w:name="page263"/>
    <w:bookmarkEnd w:id="262"/>
    <w:p>
      <w:pPr>
        <w:ind w:firstLine="1533"/>
        <w:spacing w:after="0" w:line="484" w:lineRule="auto"/>
        <w:tabs>
          <w:tab w:leader="none" w:pos="202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difference between (a) and (b) below where (a) is the Member’s Basic Retirement Contributions and Additional Basic Retirement Contributions that would have been made under the Base Plan for the applicable period on behalf of such Member, in each case determined (x) without regard to the provision in Section 4.1(d) of the Base Plan that excludes EICP ABRC Members from eligibility for Additional Basic Retirement Contributions thereunder and (y) as if the Eligible Earnings used in calculating such contributions were not limited by Code section 401(a)(17); and (b) is the Basic Retirement Contributions and Additional Basic Retirement Contributions actually made under the Base Plan for such period; and</w:t>
      </w:r>
    </w:p>
    <w:p>
      <w:pPr>
        <w:spacing w:after="0" w:line="2" w:lineRule="exact"/>
        <w:rPr>
          <w:rFonts w:ascii="Times New Roman" w:cs="Times New Roman" w:eastAsia="Times New Roman" w:hAnsi="Times New Roman"/>
          <w:sz w:val="17"/>
          <w:szCs w:val="17"/>
          <w:color w:val="auto"/>
        </w:rPr>
      </w:pPr>
    </w:p>
    <w:p>
      <w:pPr>
        <w:ind w:right="100" w:firstLine="1533"/>
        <w:spacing w:after="0" w:line="512" w:lineRule="auto"/>
        <w:tabs>
          <w:tab w:leader="none" w:pos="203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for a Member whose Eligible Earnings exceed the limit under Code section 401(a)(17) for the applicable Plan Year, the amount equal to the following percentage of Eligible Earnings paid to such Member on each pay date coincident with or immediately following the date on which such</w:t>
      </w:r>
    </w:p>
    <w:p>
      <w:pPr>
        <w:spacing w:after="0"/>
        <w:rPr>
          <w:sz w:val="20"/>
          <w:szCs w:val="20"/>
          <w:color w:val="auto"/>
        </w:rPr>
      </w:pPr>
      <w:r>
        <w:rPr>
          <w:rFonts w:ascii="Times New Roman" w:cs="Times New Roman" w:eastAsia="Times New Roman" w:hAnsi="Times New Roman"/>
          <w:sz w:val="17"/>
          <w:szCs w:val="17"/>
          <w:color w:val="auto"/>
        </w:rPr>
        <w:t>Member’s Eligible Earnings exceed the limit under Code section 401(a)(17) for the applicable Plan Year:</w:t>
      </w:r>
    </w:p>
    <w:p>
      <w:pPr>
        <w:spacing w:after="0" w:line="113" w:lineRule="exact"/>
        <w:rPr>
          <w:sz w:val="20"/>
          <w:szCs w:val="20"/>
          <w:color w:val="auto"/>
        </w:rPr>
      </w:pPr>
    </w:p>
    <w:tbl>
      <w:tblPr>
        <w:tblLayout w:type="fixed"/>
        <w:tblInd w:w="1030" w:type="dxa"/>
        <w:tblCellMar>
          <w:top w:w="0" w:type="dxa"/>
          <w:left w:w="0" w:type="dxa"/>
          <w:bottom w:w="0" w:type="dxa"/>
          <w:right w:w="0" w:type="dxa"/>
        </w:tblCellMar>
      </w:tblPr>
      <w:tr>
        <w:trPr>
          <w:trHeight w:val="170"/>
        </w:trPr>
        <w:tc>
          <w:tcPr>
            <w:tcW w:w="3760" w:type="dxa"/>
            <w:vAlign w:val="bottom"/>
            <w:tcBorders>
              <w:top w:val="single" w:sz="8" w:color="auto"/>
              <w:left w:val="single" w:sz="8" w:color="auto"/>
              <w:right w:val="single" w:sz="8" w:color="auto"/>
            </w:tcBorders>
            <w:shd w:val="clear" w:color="auto" w:fill="CFE2F3"/>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8"/>
              </w:rPr>
              <w:t>Years of</w:t>
            </w:r>
          </w:p>
        </w:tc>
        <w:tc>
          <w:tcPr>
            <w:tcW w:w="4160" w:type="dxa"/>
            <w:vAlign w:val="bottom"/>
            <w:tcBorders>
              <w:top w:val="single" w:sz="8" w:color="auto"/>
              <w:right w:val="single" w:sz="8" w:color="auto"/>
            </w:tcBorders>
            <w:shd w:val="clear" w:color="auto" w:fill="CFE2F3"/>
          </w:tcPr>
          <w:p>
            <w:pPr>
              <w:ind w:left="1120"/>
              <w:spacing w:after="0" w:line="170" w:lineRule="exact"/>
              <w:rPr>
                <w:sz w:val="20"/>
                <w:szCs w:val="20"/>
                <w:color w:val="auto"/>
              </w:rPr>
            </w:pPr>
            <w:r>
              <w:rPr>
                <w:rFonts w:ascii="Times New Roman" w:cs="Times New Roman" w:eastAsia="Times New Roman" w:hAnsi="Times New Roman"/>
                <w:sz w:val="17"/>
                <w:szCs w:val="17"/>
                <w:b w:val="1"/>
                <w:bCs w:val="1"/>
                <w:color w:val="auto"/>
              </w:rPr>
              <w:t>Supplemental “Matching”</w:t>
            </w:r>
          </w:p>
        </w:tc>
      </w:tr>
      <w:tr>
        <w:trPr>
          <w:trHeight w:val="223"/>
        </w:trPr>
        <w:tc>
          <w:tcPr>
            <w:tcW w:w="3760" w:type="dxa"/>
            <w:vAlign w:val="bottom"/>
            <w:tcBorders>
              <w:left w:val="single" w:sz="8" w:color="auto"/>
              <w:bottom w:val="single" w:sz="8" w:color="auto"/>
              <w:right w:val="single" w:sz="8" w:color="auto"/>
            </w:tcBorders>
            <w:shd w:val="clear" w:color="auto" w:fill="CFE2F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 Service</w:t>
            </w:r>
          </w:p>
        </w:tc>
        <w:tc>
          <w:tcPr>
            <w:tcW w:w="4160" w:type="dxa"/>
            <w:vAlign w:val="bottom"/>
            <w:tcBorders>
              <w:bottom w:val="single" w:sz="8" w:color="auto"/>
              <w:right w:val="single" w:sz="8" w:color="auto"/>
            </w:tcBorders>
            <w:shd w:val="clear" w:color="auto" w:fill="CFE2F3"/>
          </w:tcPr>
          <w:p>
            <w:pPr>
              <w:ind w:left="1180"/>
              <w:spacing w:after="0"/>
              <w:rPr>
                <w:sz w:val="20"/>
                <w:szCs w:val="20"/>
                <w:color w:val="auto"/>
              </w:rPr>
            </w:pPr>
            <w:r>
              <w:rPr>
                <w:rFonts w:ascii="Times New Roman" w:cs="Times New Roman" w:eastAsia="Times New Roman" w:hAnsi="Times New Roman"/>
                <w:sz w:val="17"/>
                <w:szCs w:val="17"/>
                <w:b w:val="1"/>
                <w:bCs w:val="1"/>
                <w:color w:val="auto"/>
              </w:rPr>
              <w:t>Contribution Percentage</w:t>
            </w:r>
          </w:p>
        </w:tc>
      </w:tr>
      <w:tr>
        <w:trPr>
          <w:trHeight w:val="150"/>
        </w:trPr>
        <w:tc>
          <w:tcPr>
            <w:tcW w:w="3760" w:type="dxa"/>
            <w:vAlign w:val="bottom"/>
            <w:tcBorders>
              <w:left w:val="single" w:sz="8" w:color="auto"/>
              <w:right w:val="single" w:sz="8" w:color="auto"/>
            </w:tcBorders>
          </w:tcPr>
          <w:p>
            <w:pPr>
              <w:ind w:left="60"/>
              <w:spacing w:after="0" w:line="150" w:lineRule="exact"/>
              <w:rPr>
                <w:sz w:val="20"/>
                <w:szCs w:val="20"/>
                <w:color w:val="auto"/>
              </w:rPr>
            </w:pPr>
            <w:r>
              <w:rPr>
                <w:rFonts w:ascii="Times New Roman" w:cs="Times New Roman" w:eastAsia="Times New Roman" w:hAnsi="Times New Roman"/>
                <w:sz w:val="17"/>
                <w:szCs w:val="17"/>
                <w:color w:val="auto"/>
              </w:rPr>
              <w:t>Less than five (5)</w:t>
            </w:r>
          </w:p>
        </w:tc>
        <w:tc>
          <w:tcPr>
            <w:tcW w:w="416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7"/>
                <w:szCs w:val="17"/>
                <w:color w:val="auto"/>
              </w:rPr>
              <w:t>3% of Eligible Earnings in excess of the limit under Code</w:t>
            </w:r>
          </w:p>
        </w:tc>
      </w:tr>
      <w:tr>
        <w:trPr>
          <w:trHeight w:val="221"/>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41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section 401(a)(17) for the applicable Plan Year</w:t>
            </w:r>
          </w:p>
        </w:tc>
      </w:tr>
      <w:tr>
        <w:trPr>
          <w:trHeight w:val="152"/>
        </w:trPr>
        <w:tc>
          <w:tcPr>
            <w:tcW w:w="3760" w:type="dxa"/>
            <w:vAlign w:val="bottom"/>
            <w:tcBorders>
              <w:left w:val="single" w:sz="8" w:color="auto"/>
              <w:right w:val="single" w:sz="8" w:color="auto"/>
            </w:tcBorders>
          </w:tcPr>
          <w:p>
            <w:pPr>
              <w:ind w:left="60"/>
              <w:spacing w:after="0" w:line="152" w:lineRule="exact"/>
              <w:rPr>
                <w:sz w:val="20"/>
                <w:szCs w:val="20"/>
                <w:color w:val="auto"/>
              </w:rPr>
            </w:pPr>
            <w:r>
              <w:rPr>
                <w:rFonts w:ascii="Times New Roman" w:cs="Times New Roman" w:eastAsia="Times New Roman" w:hAnsi="Times New Roman"/>
                <w:sz w:val="17"/>
                <w:szCs w:val="17"/>
                <w:color w:val="auto"/>
              </w:rPr>
              <w:t>Five (5) or more</w:t>
            </w:r>
          </w:p>
        </w:tc>
        <w:tc>
          <w:tcPr>
            <w:tcW w:w="4160" w:type="dxa"/>
            <w:vAlign w:val="bottom"/>
            <w:tcBorders>
              <w:right w:val="single" w:sz="8" w:color="auto"/>
            </w:tcBorders>
          </w:tcPr>
          <w:p>
            <w:pPr>
              <w:ind w:left="40"/>
              <w:spacing w:after="0" w:line="152" w:lineRule="exact"/>
              <w:rPr>
                <w:sz w:val="20"/>
                <w:szCs w:val="20"/>
                <w:color w:val="auto"/>
              </w:rPr>
            </w:pPr>
            <w:r>
              <w:rPr>
                <w:rFonts w:ascii="Times New Roman" w:cs="Times New Roman" w:eastAsia="Times New Roman" w:hAnsi="Times New Roman"/>
                <w:sz w:val="17"/>
                <w:szCs w:val="17"/>
                <w:color w:val="auto"/>
              </w:rPr>
              <w:t>4.5% of Eligible Earnings in excess of the limit under Code</w:t>
            </w:r>
          </w:p>
        </w:tc>
      </w:tr>
      <w:tr>
        <w:trPr>
          <w:trHeight w:val="221"/>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41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section 401(a)(17) for the applicable Plan Year</w:t>
            </w:r>
          </w:p>
        </w:tc>
      </w:tr>
    </w:tbl>
    <w:p>
      <w:pPr>
        <w:spacing w:after="0" w:line="200" w:lineRule="exact"/>
        <w:rPr>
          <w:sz w:val="20"/>
          <w:szCs w:val="20"/>
          <w:color w:val="auto"/>
        </w:rPr>
      </w:pPr>
    </w:p>
    <w:p>
      <w:pPr>
        <w:spacing w:after="0" w:line="236" w:lineRule="exact"/>
        <w:rPr>
          <w:sz w:val="20"/>
          <w:szCs w:val="20"/>
          <w:color w:val="auto"/>
        </w:rPr>
      </w:pPr>
    </w:p>
    <w:p>
      <w:pPr>
        <w:ind w:right="400" w:firstLine="509"/>
        <w:spacing w:after="0" w:line="496" w:lineRule="auto"/>
        <w:rPr>
          <w:sz w:val="20"/>
          <w:szCs w:val="20"/>
          <w:color w:val="auto"/>
        </w:rPr>
      </w:pPr>
      <w:r>
        <w:rPr>
          <w:rFonts w:ascii="Times New Roman" w:cs="Times New Roman" w:eastAsia="Times New Roman" w:hAnsi="Times New Roman"/>
          <w:sz w:val="17"/>
          <w:szCs w:val="17"/>
          <w:color w:val="auto"/>
        </w:rPr>
        <w:t>For purposes of this Section 3.2(b)(ii), Eligible Earnings means (a) for any Employee who is not a Third Country National or United States Employee in Foreign Service, the meaning ascribed under the Base Plan, and (b) for any Employee who is a Third Country National or United States Employee in Foreign Service, the Employee’s base rate of pay, determined as of</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60"/>
          </w:cols>
          <w:pgMar w:left="300" w:top="1243" w:right="339" w:bottom="1440" w:gutter="0" w:footer="0" w:header="0"/>
        </w:sectPr>
      </w:pPr>
    </w:p>
    <w:bookmarkStart w:id="263" w:name="page264"/>
    <w:bookmarkEnd w:id="263"/>
    <w:p>
      <w:pPr>
        <w:ind w:right="140"/>
        <w:spacing w:after="0" w:line="481" w:lineRule="auto"/>
        <w:rPr>
          <w:sz w:val="20"/>
          <w:szCs w:val="20"/>
          <w:color w:val="auto"/>
        </w:rPr>
      </w:pPr>
      <w:r>
        <w:rPr>
          <w:rFonts w:ascii="Times New Roman" w:cs="Times New Roman" w:eastAsia="Times New Roman" w:hAnsi="Times New Roman"/>
          <w:sz w:val="17"/>
          <w:szCs w:val="17"/>
          <w:color w:val="auto"/>
        </w:rPr>
        <w:t>January 1 of the Plan Year (or as of the date on which the Employee becomes a Third Country National or United States Employee in Foreign Service after January 1);</w:t>
      </w:r>
    </w:p>
    <w:p>
      <w:pPr>
        <w:spacing w:after="0" w:line="2" w:lineRule="exact"/>
        <w:rPr>
          <w:sz w:val="20"/>
          <w:szCs w:val="20"/>
          <w:color w:val="auto"/>
        </w:rPr>
      </w:pPr>
    </w:p>
    <w:p>
      <w:pPr>
        <w:ind w:left="2040" w:hanging="507"/>
        <w:spacing w:after="0"/>
        <w:tabs>
          <w:tab w:leader="none" w:pos="2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for a Member who is a Third Country National or United States Employee in Foreign Service, the amount equal to the following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percentage of Eligible Bonuses paid to such Member on each applicable pay date for the applicable Plan Year:</w:t>
      </w:r>
    </w:p>
    <w:p>
      <w:pPr>
        <w:spacing w:after="0" w:line="113" w:lineRule="exact"/>
        <w:rPr>
          <w:sz w:val="20"/>
          <w:szCs w:val="20"/>
          <w:color w:val="auto"/>
        </w:rPr>
      </w:pPr>
    </w:p>
    <w:tbl>
      <w:tblPr>
        <w:tblLayout w:type="fixed"/>
        <w:tblInd w:w="1290" w:type="dxa"/>
        <w:tblCellMar>
          <w:top w:w="0" w:type="dxa"/>
          <w:left w:w="0" w:type="dxa"/>
          <w:bottom w:w="0" w:type="dxa"/>
          <w:right w:w="0" w:type="dxa"/>
        </w:tblCellMar>
      </w:tblPr>
      <w:tr>
        <w:trPr>
          <w:trHeight w:val="170"/>
        </w:trPr>
        <w:tc>
          <w:tcPr>
            <w:tcW w:w="2940" w:type="dxa"/>
            <w:vAlign w:val="bottom"/>
            <w:tcBorders>
              <w:top w:val="single" w:sz="8" w:color="auto"/>
              <w:left w:val="single" w:sz="8" w:color="auto"/>
              <w:right w:val="single" w:sz="8" w:color="auto"/>
            </w:tcBorders>
            <w:shd w:val="clear" w:color="auto" w:fill="CFE2F3"/>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5"/>
              </w:rPr>
              <w:t>Years of</w:t>
            </w:r>
          </w:p>
        </w:tc>
        <w:tc>
          <w:tcPr>
            <w:tcW w:w="3240" w:type="dxa"/>
            <w:vAlign w:val="bottom"/>
            <w:tcBorders>
              <w:top w:val="single" w:sz="8" w:color="auto"/>
              <w:right w:val="single" w:sz="8" w:color="auto"/>
            </w:tcBorders>
            <w:shd w:val="clear" w:color="auto" w:fill="CFE2F3"/>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9"/>
              </w:rPr>
              <w:t>Supplemental “Matching”</w:t>
            </w:r>
          </w:p>
        </w:tc>
      </w:tr>
      <w:tr>
        <w:trPr>
          <w:trHeight w:val="223"/>
        </w:trPr>
        <w:tc>
          <w:tcPr>
            <w:tcW w:w="2940" w:type="dxa"/>
            <w:vAlign w:val="bottom"/>
            <w:tcBorders>
              <w:left w:val="single" w:sz="8" w:color="auto"/>
              <w:bottom w:val="single" w:sz="8" w:color="auto"/>
              <w:right w:val="single" w:sz="8" w:color="auto"/>
            </w:tcBorders>
            <w:shd w:val="clear" w:color="auto" w:fill="CFE2F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 Service</w:t>
            </w:r>
          </w:p>
        </w:tc>
        <w:tc>
          <w:tcPr>
            <w:tcW w:w="3240" w:type="dxa"/>
            <w:vAlign w:val="bottom"/>
            <w:tcBorders>
              <w:bottom w:val="single" w:sz="8" w:color="auto"/>
              <w:right w:val="single" w:sz="8" w:color="auto"/>
            </w:tcBorders>
            <w:shd w:val="clear" w:color="auto" w:fill="CFE2F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Contribution Percentage</w:t>
            </w:r>
          </w:p>
        </w:tc>
      </w:tr>
      <w:tr>
        <w:trPr>
          <w:trHeight w:val="203"/>
        </w:trPr>
        <w:tc>
          <w:tcPr>
            <w:tcW w:w="2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Less than five (5)</w:t>
            </w:r>
          </w:p>
        </w:tc>
        <w:tc>
          <w:tcPr>
            <w:tcW w:w="32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3% of Eligible Bonuses</w:t>
            </w:r>
          </w:p>
        </w:tc>
      </w:tr>
      <w:tr>
        <w:trPr>
          <w:trHeight w:val="203"/>
        </w:trPr>
        <w:tc>
          <w:tcPr>
            <w:tcW w:w="2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Five (5) or more</w:t>
            </w:r>
          </w:p>
        </w:tc>
        <w:tc>
          <w:tcPr>
            <w:tcW w:w="32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4.5% of Eligible Bonuses</w:t>
            </w:r>
          </w:p>
        </w:tc>
      </w:tr>
    </w:tbl>
    <w:p>
      <w:pPr>
        <w:spacing w:after="0" w:line="200" w:lineRule="exact"/>
        <w:rPr>
          <w:sz w:val="20"/>
          <w:szCs w:val="20"/>
          <w:color w:val="auto"/>
        </w:rPr>
      </w:pPr>
    </w:p>
    <w:p>
      <w:pPr>
        <w:spacing w:after="0" w:line="236" w:lineRule="exact"/>
        <w:rPr>
          <w:sz w:val="20"/>
          <w:szCs w:val="20"/>
          <w:color w:val="auto"/>
        </w:rPr>
      </w:pPr>
    </w:p>
    <w:p>
      <w:pPr>
        <w:ind w:right="160" w:firstLine="1023"/>
        <w:spacing w:after="0" w:line="481" w:lineRule="auto"/>
        <w:tabs>
          <w:tab w:leader="none" w:pos="152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Allocations shall be credited to the Account of the Members identified in Schedule A for the applicable Plan Year, in the amounts and subject to the terms and conditions set forth in such Schedule A.</w:t>
      </w:r>
    </w:p>
    <w:p>
      <w:pPr>
        <w:spacing w:after="0" w:line="1" w:lineRule="exact"/>
        <w:rPr>
          <w:rFonts w:ascii="Times New Roman" w:cs="Times New Roman" w:eastAsia="Times New Roman" w:hAnsi="Times New Roman"/>
          <w:sz w:val="17"/>
          <w:szCs w:val="17"/>
          <w:color w:val="auto"/>
        </w:rPr>
      </w:pPr>
    </w:p>
    <w:p>
      <w:pPr>
        <w:jc w:val="both"/>
        <w:ind w:right="200" w:firstLine="509"/>
        <w:spacing w:after="0" w:line="4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Distribution of Amounts Credited for any Plan Year Prior to 2010</w:t>
      </w:r>
      <w:r>
        <w:rPr>
          <w:rFonts w:ascii="Times New Roman" w:cs="Times New Roman" w:eastAsia="Times New Roman" w:hAnsi="Times New Roman"/>
          <w:sz w:val="17"/>
          <w:szCs w:val="17"/>
          <w:color w:val="auto"/>
        </w:rPr>
        <w:t>. Absent a timely deferral election made in accordance with Section 3.4, a Member’s Allocation for any Plan Year prior to 2010, and the Allocations for 2010 attributable to the Company Matching Contributions, shall be distributed to the Member on or about December 15th of such Plan Year.</w:t>
      </w:r>
    </w:p>
    <w:p>
      <w:pPr>
        <w:ind w:right="80" w:firstLine="509"/>
        <w:spacing w:after="0" w:line="4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Deferral Election</w:t>
      </w:r>
      <w:r>
        <w:rPr>
          <w:rFonts w:ascii="Times New Roman" w:cs="Times New Roman" w:eastAsia="Times New Roman" w:hAnsi="Times New Roman"/>
          <w:sz w:val="17"/>
          <w:szCs w:val="17"/>
          <w:color w:val="auto"/>
        </w:rPr>
        <w:t>. For Plan Years prior to 2011, a Member may elect before the beginning of the applicable Plan Year to defer distribution of his Allocation for such Plan Year, resulting in a Deferred Allocation. For the 2010 Plan Year the election is limited to the portion of the Allocation attributable to the Company Matching Contribution. Such election shall be made on a form provided by, and delivered to, the Employee Relations Committee prior to the first day of the Plan Year. Amounts deferred hereunder shall be credited to the Member’s Account. A Member’s Allocations for any applicable period beginning after 2010, and the 2010</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60"/>
          </w:cols>
          <w:pgMar w:left="300" w:top="1243"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color w:val="auto"/>
        </w:rPr>
        <w:t>Allocations not attributable to Company Matching Allocations, shall automatically be credited to the Member’s Account.</w:t>
      </w:r>
    </w:p>
    <w:p>
      <w:pPr>
        <w:spacing w:after="0" w:line="197"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3.5</w:t>
      </w:r>
      <w:r>
        <w:rPr>
          <w:sz w:val="20"/>
          <w:szCs w:val="20"/>
          <w:color w:val="auto"/>
        </w:rPr>
        <w:tab/>
      </w:r>
      <w:r>
        <w:rPr>
          <w:rFonts w:ascii="Times New Roman" w:cs="Times New Roman" w:eastAsia="Times New Roman" w:hAnsi="Times New Roman"/>
          <w:sz w:val="16"/>
          <w:szCs w:val="16"/>
          <w:u w:val="single" w:color="auto"/>
          <w:color w:val="auto"/>
        </w:rPr>
        <w:t>Adjustments to Deferred Allocations</w:t>
      </w:r>
      <w:r>
        <w:rPr>
          <w:rFonts w:ascii="Times New Roman" w:cs="Times New Roman" w:eastAsia="Times New Roman" w:hAnsi="Times New Roman"/>
          <w:sz w:val="16"/>
          <w:szCs w:val="16"/>
          <w:color w:val="auto"/>
        </w:rPr>
        <w:t>. Deferred Allocations shall be adjusted as follows:</w:t>
      </w:r>
    </w:p>
    <w:p>
      <w:pPr>
        <w:spacing w:after="0" w:line="197" w:lineRule="exact"/>
        <w:rPr>
          <w:sz w:val="20"/>
          <w:szCs w:val="20"/>
          <w:color w:val="auto"/>
        </w:rPr>
      </w:pPr>
    </w:p>
    <w:p>
      <w:pPr>
        <w:ind w:firstLine="1023"/>
        <w:spacing w:after="0" w:line="481" w:lineRule="auto"/>
        <w:tabs>
          <w:tab w:leader="none" w:pos="152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allocated to the separate account under Section 2.1(a) shall be credited with earnings and losses based on the performance of shares of the Company’s Series B Convertible Preference Stock (including dividends thereon which shall be deemed to be reinvested in such shares);</w:t>
      </w:r>
    </w:p>
    <w:p>
      <w:pPr>
        <w:spacing w:after="0" w:line="1" w:lineRule="exact"/>
        <w:rPr>
          <w:rFonts w:ascii="Times New Roman" w:cs="Times New Roman" w:eastAsia="Times New Roman" w:hAnsi="Times New Roman"/>
          <w:sz w:val="17"/>
          <w:szCs w:val="17"/>
          <w:color w:val="auto"/>
        </w:rPr>
      </w:pPr>
    </w:p>
    <w:p>
      <w:pPr>
        <w:ind w:right="40" w:firstLine="1023"/>
        <w:spacing w:after="0" w:line="519" w:lineRule="auto"/>
        <w:tabs>
          <w:tab w:leader="none" w:pos="152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allocated to the separate account under Section 2.1(b) for the period January 1, 2010 through September 30, 2010 shall be credited with interest at an annual rate equal to the interest rate credited on long-term deferrals under the Colgate-Palmolive Company Deferred Compensation Plan for 2010;</w:t>
      </w:r>
    </w:p>
    <w:p>
      <w:pPr>
        <w:ind w:left="1540" w:hanging="517"/>
        <w:spacing w:after="0"/>
        <w:tabs>
          <w:tab w:leader="none" w:pos="15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allocated to the separate account under Section 2.1(b) after September 30, 2010 shall be credited with interest at an annual rate equal</w:t>
      </w:r>
    </w:p>
    <w:p>
      <w:pPr>
        <w:spacing w:after="0" w:line="19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6.01%; and</w:t>
      </w:r>
    </w:p>
    <w:p>
      <w:pPr>
        <w:spacing w:after="0" w:line="197" w:lineRule="exact"/>
        <w:rPr>
          <w:rFonts w:ascii="Times New Roman" w:cs="Times New Roman" w:eastAsia="Times New Roman" w:hAnsi="Times New Roman"/>
          <w:sz w:val="17"/>
          <w:szCs w:val="17"/>
          <w:color w:val="auto"/>
        </w:rPr>
      </w:pPr>
    </w:p>
    <w:p>
      <w:pPr>
        <w:ind w:right="380" w:firstLine="1023"/>
        <w:spacing w:after="0" w:line="481" w:lineRule="auto"/>
        <w:tabs>
          <w:tab w:leader="none" w:pos="152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allocated to the separate account under Section 2.1(c) shall be credited with interest at the rate used under the Colgate-Palmolive Company Employees’ Retirement Income Plan for determining Interest Credits.</w:t>
      </w:r>
    </w:p>
    <w:p>
      <w:pPr>
        <w:spacing w:after="0" w:line="1" w:lineRule="exact"/>
        <w:rPr>
          <w:rFonts w:ascii="Times New Roman" w:cs="Times New Roman" w:eastAsia="Times New Roman" w:hAnsi="Times New Roman"/>
          <w:sz w:val="17"/>
          <w:szCs w:val="17"/>
          <w:color w:val="auto"/>
        </w:rPr>
      </w:pPr>
    </w:p>
    <w:p>
      <w:pPr>
        <w:ind w:right="80" w:firstLine="509"/>
        <w:spacing w:after="0" w:line="49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Distribution of Member’s Account</w:t>
      </w:r>
      <w:r>
        <w:rPr>
          <w:rFonts w:ascii="Times New Roman" w:cs="Times New Roman" w:eastAsia="Times New Roman" w:hAnsi="Times New Roman"/>
          <w:sz w:val="17"/>
          <w:szCs w:val="17"/>
          <w:color w:val="auto"/>
        </w:rPr>
        <w:t>. The vested portion of a Member’s Account shall be distributed as soon as practicable following the end of the quarter in which the Member separated from service; provided, however, that effective for distributions made on or after January 1, 2006, if the Member is a “specified employee,” as determined in accordance with procedures adopted by the Company that reflect the requirements of Code section 409A(a)(2)(B)(i), distribution of the portion of the Member’s Account in excess of the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0"/>
          </w:cols>
          <w:pgMar w:left="300" w:top="1243" w:right="339" w:bottom="1440" w:gutter="0" w:footer="0" w:header="0"/>
        </w:sectPr>
      </w:pPr>
    </w:p>
    <w:bookmarkStart w:id="265" w:name="page266"/>
    <w:bookmarkEnd w:id="265"/>
    <w:p>
      <w:pPr>
        <w:spacing w:after="0" w:line="481" w:lineRule="auto"/>
        <w:rPr>
          <w:sz w:val="20"/>
          <w:szCs w:val="20"/>
          <w:color w:val="auto"/>
        </w:rPr>
      </w:pPr>
      <w:r>
        <w:rPr>
          <w:rFonts w:ascii="Times New Roman" w:cs="Times New Roman" w:eastAsia="Times New Roman" w:hAnsi="Times New Roman"/>
          <w:sz w:val="17"/>
          <w:szCs w:val="17"/>
          <w:color w:val="auto"/>
        </w:rPr>
        <w:t>Grandfathered Benefit shall be deferred until the earlier of (i) the date that is six months following the Member’s separation from service or (ii) the date of the Member’s death. Distributions shall be made in cash, except for the portion of a Member’s Account described in Section 2.1(a) which shall be distributed in shares of Company common stock.</w:t>
      </w:r>
    </w:p>
    <w:p>
      <w:pPr>
        <w:spacing w:after="0" w:line="2" w:lineRule="exact"/>
        <w:rPr>
          <w:sz w:val="20"/>
          <w:szCs w:val="20"/>
          <w:color w:val="auto"/>
        </w:rPr>
      </w:pPr>
    </w:p>
    <w:p>
      <w:pPr>
        <w:ind w:right="120" w:firstLine="509"/>
        <w:spacing w:after="0" w:line="486" w:lineRule="auto"/>
        <w:rPr>
          <w:sz w:val="20"/>
          <w:szCs w:val="20"/>
          <w:color w:val="auto"/>
        </w:rPr>
      </w:pPr>
      <w:r>
        <w:rPr>
          <w:rFonts w:ascii="Times New Roman" w:cs="Times New Roman" w:eastAsia="Times New Roman" w:hAnsi="Times New Roman"/>
          <w:sz w:val="17"/>
          <w:szCs w:val="17"/>
          <w:color w:val="auto"/>
        </w:rPr>
        <w:t xml:space="preserve">Section 3.7 </w:t>
      </w:r>
      <w:r>
        <w:rPr>
          <w:rFonts w:ascii="Times New Roman" w:cs="Times New Roman" w:eastAsia="Times New Roman" w:hAnsi="Times New Roman"/>
          <w:sz w:val="17"/>
          <w:szCs w:val="17"/>
          <w:u w:val="single" w:color="auto"/>
          <w:color w:val="auto"/>
        </w:rPr>
        <w:t>Vested Portion of Member’s Account</w:t>
      </w:r>
      <w:r>
        <w:rPr>
          <w:rFonts w:ascii="Times New Roman" w:cs="Times New Roman" w:eastAsia="Times New Roman" w:hAnsi="Times New Roman"/>
          <w:sz w:val="17"/>
          <w:szCs w:val="17"/>
          <w:color w:val="auto"/>
        </w:rPr>
        <w:t>. Allocations to the Member’s Account for Plan Years prior to 2010, and Allocations for the 2010 Plan Year attributable to the Company Matching Contribution, shall be 100% vested. All other Allocations shall vest in accordance with the vesting rules specified in the Base Plan.</w:t>
      </w:r>
    </w:p>
    <w:p>
      <w:pPr>
        <w:spacing w:after="0" w:line="1" w:lineRule="exact"/>
        <w:rPr>
          <w:sz w:val="20"/>
          <w:szCs w:val="20"/>
          <w:color w:val="auto"/>
        </w:rPr>
      </w:pPr>
    </w:p>
    <w:p>
      <w:pPr>
        <w:ind w:right="60" w:firstLine="509"/>
        <w:spacing w:after="0" w:line="481" w:lineRule="auto"/>
        <w:rPr>
          <w:sz w:val="20"/>
          <w:szCs w:val="20"/>
          <w:color w:val="auto"/>
        </w:rPr>
      </w:pPr>
      <w:r>
        <w:rPr>
          <w:rFonts w:ascii="Times New Roman" w:cs="Times New Roman" w:eastAsia="Times New Roman" w:hAnsi="Times New Roman"/>
          <w:sz w:val="17"/>
          <w:szCs w:val="17"/>
          <w:color w:val="auto"/>
        </w:rPr>
        <w:t xml:space="preserve">Section 3.8 </w:t>
      </w:r>
      <w:r>
        <w:rPr>
          <w:rFonts w:ascii="Times New Roman" w:cs="Times New Roman" w:eastAsia="Times New Roman" w:hAnsi="Times New Roman"/>
          <w:sz w:val="17"/>
          <w:szCs w:val="17"/>
          <w:u w:val="single" w:color="auto"/>
          <w:color w:val="auto"/>
        </w:rPr>
        <w:t>Death of a Member</w:t>
      </w:r>
      <w:r>
        <w:rPr>
          <w:rFonts w:ascii="Times New Roman" w:cs="Times New Roman" w:eastAsia="Times New Roman" w:hAnsi="Times New Roman"/>
          <w:sz w:val="17"/>
          <w:szCs w:val="17"/>
          <w:color w:val="auto"/>
        </w:rPr>
        <w:t>. Upon a Member’s death, the Member’s Account shall be distributed to the Member’s Beneficiary in a lump sum payment as soon as practicable following the end of the quarter in which the Member died.</w:t>
      </w:r>
    </w:p>
    <w:p>
      <w:pPr>
        <w:spacing w:after="0" w:line="2" w:lineRule="exact"/>
        <w:rPr>
          <w:sz w:val="20"/>
          <w:szCs w:val="20"/>
          <w:color w:val="auto"/>
        </w:rPr>
      </w:pPr>
    </w:p>
    <w:p>
      <w:pPr>
        <w:ind w:right="220" w:firstLine="509"/>
        <w:spacing w:after="0" w:line="491"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Change of Control for Members Covered under the Executive Severance Plan</w:t>
      </w:r>
      <w:r>
        <w:rPr>
          <w:rFonts w:ascii="Times New Roman" w:cs="Times New Roman" w:eastAsia="Times New Roman" w:hAnsi="Times New Roman"/>
          <w:sz w:val="17"/>
          <w:szCs w:val="17"/>
          <w:color w:val="auto"/>
        </w:rPr>
        <w:t>. In the event of a Change of Control, a distribution of the Member’s Grandfathered Benefit shall be made as soon as practicable following the Change of Control provided that Member is then covered under the Executive Severance Plan. If the Change of Control satisfies the requirements of Code section 409A(a)(2)(A)(v), a distribution of the portion of such Member’s Account in excess of the Grandfather Benefit shall be made as soon as practicable following the Change of Control.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4 PLAN ADMINISTRATION</w:t>
      </w:r>
    </w:p>
    <w:p>
      <w:pPr>
        <w:spacing w:after="0" w:line="201" w:lineRule="exact"/>
        <w:rPr>
          <w:sz w:val="20"/>
          <w:szCs w:val="20"/>
          <w:color w:val="auto"/>
        </w:rPr>
      </w:pPr>
    </w:p>
    <w:p>
      <w:pPr>
        <w:ind w:right="120" w:firstLine="509"/>
        <w:spacing w:after="0" w:line="503"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The Plan shall be administered by the Employee Relations Committee, which shall have full authority to administer and interpret this Plan, make payments and maintain records hereunder. The Employee Relations Committee may adopt or amend from time to time such procedures as may be required for determinations required under the Plan. All</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60"/>
          </w:cols>
          <w:pgMar w:left="300" w:top="1243" w:right="339" w:bottom="1440" w:gutter="0" w:footer="0" w:header="0"/>
        </w:sectPr>
      </w:pPr>
    </w:p>
    <w:bookmarkStart w:id="266" w:name="page267"/>
    <w:bookmarkEnd w:id="266"/>
    <w:p>
      <w:pPr>
        <w:spacing w:after="0" w:line="485" w:lineRule="auto"/>
        <w:rPr>
          <w:sz w:val="20"/>
          <w:szCs w:val="20"/>
          <w:color w:val="auto"/>
        </w:rPr>
      </w:pPr>
      <w:r>
        <w:rPr>
          <w:rFonts w:ascii="Times New Roman" w:cs="Times New Roman" w:eastAsia="Times New Roman" w:hAnsi="Times New Roman"/>
          <w:sz w:val="17"/>
          <w:szCs w:val="17"/>
          <w:color w:val="auto"/>
        </w:rPr>
        <w:t>interpretations of the Employee Relations Committee shall be final and binding on all parties including Members, Beneficiaries and the Company. Any complaint with regard to benefits under the Plan should be directed to the Employee Relations Committee, Colgate Palmolive Company, 300 Park Avenue, New York, NY 10022. Such complaint must be filed in writing no later than 90 days after the date of retirement, termination or other occurrence related to the complaint. Within 90 days of the filing of such claim, unless special circumstances require an extension of such period, such person will be given notice in writing of the approval or denial of the claim. If the claim is denied, the notice will set forth the reason for the denial, the Plan provisions on which the denial is based, an explanation of what other material or information, if any, is needed to perfect the claim, and an explanation of the claims review procedure. The claimant may request a review of such denial within 60 days of the date of receipt of such denial by filing notice in writing with the Employee Relations Committee. The claimant will have the right to review pertinent Plan documents and to submit issues and comments in writing. The Employee Relations Committee will respond in writing to a request for review within 60 days of receiving it, unless special circumstances require an extension of such period. If the claimant does not request such a review or the Employee Relations Committee fails to respond to such a request for review in writing, the request for review will be deemed to have been made and denied on the 120th day after the date of the initial denial. The Employee Relations Committee, in its discretion, may request a meeting to clarify any matters deemed appropriate. No action may be brought for benefits under this Plan pursuant to the denial of a claim, unless such claim was timely made under this Section and such complaint is filed on or before one year from the denial or deemed denial by the Employee Relations Committee of any such claim upon review.</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243" w:right="319" w:bottom="1440" w:gutter="0" w:footer="0" w:header="0"/>
        </w:sectPr>
      </w:pPr>
    </w:p>
    <w:bookmarkStart w:id="267" w:name="page268"/>
    <w:bookmarkEnd w:id="267"/>
    <w:p>
      <w:pPr>
        <w:ind w:right="120" w:firstLine="509"/>
        <w:spacing w:after="0" w:line="481"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Delegated Responsibilities</w:t>
      </w:r>
      <w:r>
        <w:rPr>
          <w:rFonts w:ascii="Times New Roman" w:cs="Times New Roman" w:eastAsia="Times New Roman" w:hAnsi="Times New Roman"/>
          <w:sz w:val="17"/>
          <w:szCs w:val="17"/>
          <w:color w:val="auto"/>
        </w:rPr>
        <w:t>. The Employee Relations Committee shall have the authority to delegate any of its responsibilities to such persons as it deems proper.</w:t>
      </w:r>
    </w:p>
    <w:p>
      <w:pPr>
        <w:spacing w:after="0" w:line="2" w:lineRule="exact"/>
        <w:rPr>
          <w:sz w:val="20"/>
          <w:szCs w:val="20"/>
          <w:color w:val="auto"/>
        </w:rPr>
      </w:pPr>
    </w:p>
    <w:p>
      <w:pPr>
        <w:ind w:right="400" w:firstLine="509"/>
        <w:spacing w:after="0" w:line="516"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Amendment and Termination</w:t>
      </w:r>
      <w:r>
        <w:rPr>
          <w:rFonts w:ascii="Times New Roman" w:cs="Times New Roman" w:eastAsia="Times New Roman" w:hAnsi="Times New Roman"/>
          <w:sz w:val="16"/>
          <w:szCs w:val="16"/>
          <w:color w:val="auto"/>
        </w:rPr>
        <w:t>. The Company may amend, modify or terminate this Plan at any time, provided, however, that no such amendment, modification or termination shall reduce the amount credited to a Member’s Account as of the date of such amendment or termination unless the Member becomes entitled to an amount equal to any such reduction under another plan (including the Base Plan), program or practice adopted by the Company.</w:t>
      </w:r>
    </w:p>
    <w:p>
      <w:pPr>
        <w:spacing w:after="0" w:line="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4.4</w:t>
      </w:r>
      <w:r>
        <w:rPr>
          <w:sz w:val="20"/>
          <w:szCs w:val="20"/>
          <w:color w:val="auto"/>
        </w:rPr>
        <w:tab/>
      </w:r>
      <w:r>
        <w:rPr>
          <w:rFonts w:ascii="Times New Roman" w:cs="Times New Roman" w:eastAsia="Times New Roman" w:hAnsi="Times New Roman"/>
          <w:sz w:val="16"/>
          <w:szCs w:val="16"/>
          <w:u w:val="single" w:color="auto"/>
          <w:color w:val="auto"/>
        </w:rPr>
        <w:t>Payments</w:t>
      </w:r>
      <w:r>
        <w:rPr>
          <w:rFonts w:ascii="Times New Roman" w:cs="Times New Roman" w:eastAsia="Times New Roman" w:hAnsi="Times New Roman"/>
          <w:sz w:val="16"/>
          <w:szCs w:val="16"/>
          <w:color w:val="auto"/>
        </w:rPr>
        <w:t>. The Company will pay all benefits arising under this Plan and all costs, charges and expenses relating thereto out of its general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w:t>
      </w:r>
    </w:p>
    <w:p>
      <w:pPr>
        <w:spacing w:after="0" w:line="197" w:lineRule="exact"/>
        <w:rPr>
          <w:sz w:val="20"/>
          <w:szCs w:val="20"/>
          <w:color w:val="auto"/>
        </w:rPr>
      </w:pPr>
    </w:p>
    <w:p>
      <w:pPr>
        <w:ind w:firstLine="509"/>
        <w:spacing w:after="0" w:line="481"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u w:val="single" w:color="auto"/>
          <w:color w:val="auto"/>
        </w:rPr>
        <w:t>Non-Assignability of Benefits</w:t>
      </w:r>
      <w:r>
        <w:rPr>
          <w:rFonts w:ascii="Times New Roman" w:cs="Times New Roman" w:eastAsia="Times New Roman" w:hAnsi="Times New Roman"/>
          <w:sz w:val="17"/>
          <w:szCs w:val="17"/>
          <w:color w:val="auto"/>
        </w:rPr>
        <w:t>. Except as otherwise required by law, neither any benefit payable hereunder nor the right to receive any future benefit under this Plan may be anticipated, alienated, sold, transferred, assigned, pledged, encumbered or subjected to any charge or legal process, and if any attempt is made to do so, or a person eligible for any benefits under this Plan becomes bankrupt, the interest under this Plan of the person affected may be terminated by the Employee Relations Committee which, in its sole discretion, may cause the same to be held or applied for the benefit of one or more of the dependents of such person or make any other disposition of such benefits that it deems appropriate and is consistent with Code section 409A.</w:t>
      </w:r>
    </w:p>
    <w:p>
      <w:pPr>
        <w:spacing w:after="0" w:line="4" w:lineRule="exact"/>
        <w:rPr>
          <w:sz w:val="20"/>
          <w:szCs w:val="20"/>
          <w:color w:val="auto"/>
        </w:rPr>
      </w:pPr>
    </w:p>
    <w:p>
      <w:pPr>
        <w:ind w:right="240" w:firstLine="509"/>
        <w:spacing w:after="0" w:line="503" w:lineRule="auto"/>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Plan Unfunded</w:t>
      </w:r>
      <w:r>
        <w:rPr>
          <w:rFonts w:ascii="Times New Roman" w:cs="Times New Roman" w:eastAsia="Times New Roman" w:hAnsi="Times New Roman"/>
          <w:sz w:val="17"/>
          <w:szCs w:val="17"/>
          <w:color w:val="auto"/>
        </w:rPr>
        <w:t>. Nothing in this Plan shall be interpreted or construed to require the Company in any manner to fund any obligation to the Members or Beneficiaries hereunder. Nothing contained in this Plan nor any action taken here under shall create, or be construed to create, a trust of any kind, or a fiduciary relationship between the Company and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243" w:right="319" w:bottom="1440" w:gutter="0" w:footer="0" w:header="0"/>
        </w:sectPr>
      </w:pPr>
    </w:p>
    <w:bookmarkStart w:id="268" w:name="page269"/>
    <w:bookmarkEnd w:id="268"/>
    <w:p>
      <w:pPr>
        <w:jc w:val="both"/>
        <w:ind w:right="280"/>
        <w:spacing w:after="0" w:line="481" w:lineRule="auto"/>
        <w:rPr>
          <w:sz w:val="20"/>
          <w:szCs w:val="20"/>
          <w:color w:val="auto"/>
        </w:rPr>
      </w:pPr>
      <w:r>
        <w:rPr>
          <w:rFonts w:ascii="Times New Roman" w:cs="Times New Roman" w:eastAsia="Times New Roman" w:hAnsi="Times New Roman"/>
          <w:sz w:val="17"/>
          <w:szCs w:val="17"/>
          <w:color w:val="auto"/>
        </w:rPr>
        <w:t>Members or Beneficiaries. Any funds which may be accumulated in order to meet any obligation under this Plan shall for all purposes continue to be a part of the general assets of the Company. To the extent that any Member or Beneficiary acquires a right to receive payments from the Company under this Plan, such rights shall be no greater than the rights of any unsecured general creditor of the Company.</w:t>
      </w:r>
    </w:p>
    <w:p>
      <w:pPr>
        <w:spacing w:after="0" w:line="2" w:lineRule="exact"/>
        <w:rPr>
          <w:sz w:val="20"/>
          <w:szCs w:val="20"/>
          <w:color w:val="auto"/>
        </w:rPr>
      </w:pPr>
    </w:p>
    <w:p>
      <w:pPr>
        <w:ind w:firstLine="509"/>
        <w:spacing w:after="0" w:line="488"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All questions pertaining to the construction, validity and effect of this Plan shall be determined in accordance with the laws of the State of Delaware, to the extent not preempted by Federal law.</w:t>
      </w:r>
    </w:p>
    <w:p>
      <w:pPr>
        <w:spacing w:after="0" w:line="1" w:lineRule="exact"/>
        <w:rPr>
          <w:sz w:val="20"/>
          <w:szCs w:val="20"/>
          <w:color w:val="auto"/>
        </w:rPr>
      </w:pPr>
    </w:p>
    <w:p>
      <w:pPr>
        <w:ind w:right="120" w:firstLine="509"/>
        <w:spacing w:after="0" w:line="481" w:lineRule="auto"/>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No Employment Rights Conferred</w:t>
      </w:r>
      <w:r>
        <w:rPr>
          <w:rFonts w:ascii="Times New Roman" w:cs="Times New Roman" w:eastAsia="Times New Roman" w:hAnsi="Times New Roman"/>
          <w:sz w:val="17"/>
          <w:szCs w:val="17"/>
          <w:color w:val="auto"/>
        </w:rPr>
        <w:t>. The establishment of the Plan shall not be construed as conferring any rights upon any Eligible Employee for continuation of employment, nor shall it be construed as limiting in any way the right of the Company to discharge any Eligible Employee or treat him without regard to the effect which such treatment might have upon him under the Plan.</w:t>
      </w:r>
    </w:p>
    <w:p>
      <w:pPr>
        <w:spacing w:after="0" w:line="2" w:lineRule="exact"/>
        <w:rPr>
          <w:sz w:val="20"/>
          <w:szCs w:val="20"/>
          <w:color w:val="auto"/>
        </w:rPr>
      </w:pPr>
    </w:p>
    <w:p>
      <w:pPr>
        <w:ind w:right="120" w:firstLine="509"/>
        <w:spacing w:after="0" w:line="481" w:lineRule="auto"/>
        <w:rPr>
          <w:sz w:val="20"/>
          <w:szCs w:val="20"/>
          <w:color w:val="auto"/>
        </w:rPr>
      </w:pPr>
      <w:r>
        <w:rPr>
          <w:rFonts w:ascii="Times New Roman" w:cs="Times New Roman" w:eastAsia="Times New Roman" w:hAnsi="Times New Roman"/>
          <w:sz w:val="17"/>
          <w:szCs w:val="17"/>
          <w:color w:val="auto"/>
        </w:rPr>
        <w:t xml:space="preserve">Section 4.9 </w:t>
      </w:r>
      <w:r>
        <w:rPr>
          <w:rFonts w:ascii="Times New Roman" w:cs="Times New Roman" w:eastAsia="Times New Roman" w:hAnsi="Times New Roman"/>
          <w:sz w:val="17"/>
          <w:szCs w:val="17"/>
          <w:u w:val="single" w:color="auto"/>
          <w:color w:val="auto"/>
        </w:rPr>
        <w:t>Plan to Comply with Code Section 409A</w:t>
      </w:r>
      <w:r>
        <w:rPr>
          <w:rFonts w:ascii="Times New Roman" w:cs="Times New Roman" w:eastAsia="Times New Roman" w:hAnsi="Times New Roman"/>
          <w:sz w:val="17"/>
          <w:szCs w:val="17"/>
          <w:color w:val="auto"/>
        </w:rPr>
        <w:t>. Notwithstanding any provision to the contrary in this Plan, each provision in this Plan shall be interpreted to permit the deferral of compensation in accordance with Code section 409A, and any provision that would conflict with such requirements shall not be valid or enforceable.</w:t>
      </w:r>
    </w:p>
    <w:p>
      <w:pPr>
        <w:spacing w:after="0" w:line="2" w:lineRule="exact"/>
        <w:rPr>
          <w:sz w:val="20"/>
          <w:szCs w:val="20"/>
          <w:color w:val="auto"/>
        </w:rPr>
      </w:pPr>
    </w:p>
    <w:p>
      <w:pPr>
        <w:ind w:right="20" w:firstLine="509"/>
        <w:spacing w:after="0" w:line="496"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u w:val="single" w:color="auto"/>
          <w:color w:val="auto"/>
        </w:rPr>
        <w:t>Reductions to Member’s Account</w:t>
      </w:r>
      <w:r>
        <w:rPr>
          <w:rFonts w:ascii="Times New Roman" w:cs="Times New Roman" w:eastAsia="Times New Roman" w:hAnsi="Times New Roman"/>
          <w:sz w:val="17"/>
          <w:szCs w:val="17"/>
          <w:color w:val="auto"/>
        </w:rPr>
        <w:t>. To the extent permitted by applicable law (including Code section 409A), a Member’s Account shall be reduced as appropriate by any severance, separation, notice or termination allowance or indemnity paid or payable to such Member which is paid by or is attributable to payments by the Company or the Company’s subsidiaries or affiliates, directly or indirectly, under any law, decree or ruling having the effect of law.</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60"/>
          </w:cols>
          <w:pgMar w:left="300" w:top="1243" w:right="339" w:bottom="1440" w:gutter="0" w:footer="0" w:header="0"/>
        </w:sectPr>
      </w:pPr>
    </w:p>
    <w:bookmarkStart w:id="269" w:name="page270"/>
    <w:bookmarkEnd w:id="269"/>
    <w:p>
      <w:pPr>
        <w:ind w:right="40" w:firstLine="509"/>
        <w:spacing w:after="0" w:line="483" w:lineRule="auto"/>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Recovery of Overpayments</w:t>
      </w:r>
      <w:r>
        <w:rPr>
          <w:rFonts w:ascii="Times New Roman" w:cs="Times New Roman" w:eastAsia="Times New Roman" w:hAnsi="Times New Roman"/>
          <w:sz w:val="17"/>
          <w:szCs w:val="17"/>
          <w:color w:val="auto"/>
        </w:rPr>
        <w:t>. The Plan has a right of reimbursement against any person who receives or holds a payment from the Plan in excess of the amount to which a Participant or Beneficiary is entitled under the terms of the Plan. The Plan’s right to recover overpayments from any Participant or Beneficiary exists regardless of the error, event or other circumstances giving rise to the overpayment and shall not be conditioned upon or mitigated by the behavior of any involved party. The Participant or Beneficiary shall not be permitted to raise reliance, estoppel or other legal or equitable defenses in response to any action by the Committee or its delegates to recover an overpayment. The Plan’s right to recovery is an equitable lien by agreement, and the Committee and its delegates, may recover the amount overpaid, plus any earnings or interest determined in accordance with guidance issued by the Internal Revenue Service (the “IRS”), in any manner determined by the Committee to be in the best interests of the Plan, including, but not limited to, by legal action against the recipient and/or holder of the overpayment or by offset against other or future benefits payable to or with respect to the Participant or Beneficiary under the Plan, regardless of whether the overpaid amounts remain in his or her possession. The provisions of this Section 4.11 are intended to clarify existing rights of the Plan and apply to all past or future overpayments.</w:t>
      </w:r>
    </w:p>
    <w:p>
      <w:pPr>
        <w:spacing w:after="0" w:line="2" w:lineRule="exact"/>
        <w:rPr>
          <w:sz w:val="20"/>
          <w:szCs w:val="20"/>
          <w:color w:val="auto"/>
        </w:rPr>
      </w:pPr>
    </w:p>
    <w:p>
      <w:pPr>
        <w:ind w:firstLine="509"/>
        <w:spacing w:after="0" w:line="492" w:lineRule="auto"/>
        <w:rPr>
          <w:sz w:val="20"/>
          <w:szCs w:val="20"/>
          <w:color w:val="auto"/>
        </w:rPr>
      </w:pPr>
      <w:r>
        <w:rPr>
          <w:rFonts w:ascii="Times New Roman" w:cs="Times New Roman" w:eastAsia="Times New Roman" w:hAnsi="Times New Roman"/>
          <w:sz w:val="17"/>
          <w:szCs w:val="17"/>
          <w:color w:val="auto"/>
        </w:rPr>
        <w:t xml:space="preserve">Section 4.12 </w:t>
      </w:r>
      <w:r>
        <w:rPr>
          <w:rFonts w:ascii="Times New Roman" w:cs="Times New Roman" w:eastAsia="Times New Roman" w:hAnsi="Times New Roman"/>
          <w:sz w:val="17"/>
          <w:szCs w:val="17"/>
          <w:u w:val="single" w:color="auto"/>
          <w:color w:val="auto"/>
        </w:rPr>
        <w:t>Facility of Payment</w:t>
      </w:r>
      <w:r>
        <w:rPr>
          <w:rFonts w:ascii="Times New Roman" w:cs="Times New Roman" w:eastAsia="Times New Roman" w:hAnsi="Times New Roman"/>
          <w:sz w:val="17"/>
          <w:szCs w:val="17"/>
          <w:color w:val="auto"/>
        </w:rPr>
        <w:t>. Whenever, in the Employee Relations Committee’s opinion, a person entitled to receive any payment of a benefit or installment thereof is under a legal disability or is incapacitated in any way so as to be unable to manage his financial affairs, the Employee Relations Committee may direct the application of the payment for the benefit of such person in such a manner as the Employee Relations Committee considers advisable (e.g., the payment may be made to a guardian, conservator, or other legal representative or to an individual or institution entrusted with the care of the individual or the individual’s beneficiary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243" w:right="319" w:bottom="1440" w:gutter="0" w:footer="0" w:header="0"/>
        </w:sectPr>
      </w:pPr>
    </w:p>
    <w:bookmarkStart w:id="270" w:name="page271"/>
    <w:bookmarkEnd w:id="270"/>
    <w:p>
      <w:pPr>
        <w:ind w:right="120"/>
        <w:spacing w:after="0" w:line="483" w:lineRule="auto"/>
        <w:rPr>
          <w:sz w:val="20"/>
          <w:szCs w:val="20"/>
          <w:color w:val="auto"/>
        </w:rPr>
      </w:pPr>
      <w:r>
        <w:rPr>
          <w:rFonts w:ascii="Times New Roman" w:cs="Times New Roman" w:eastAsia="Times New Roman" w:hAnsi="Times New Roman"/>
          <w:sz w:val="17"/>
          <w:szCs w:val="17"/>
          <w:color w:val="auto"/>
        </w:rPr>
        <w:t>(as applicable) or to a parent or grandparent, provided that (1) the Employee Relations Committee determines, in its discretion, that the payment will benefit the Member or Beneficiary, (2) no other individual or institution is guardian, conservator, attorney-in-fact, or other legal representative, and (3) no prior claim has been made by a guardian, conservator, attorney-in-fact, or other legal representative). The Employee Relations Committee may require submission of documentation by the representative. If the representative wishes to act under a power of attorney, the power of attorney must be submitted for the Employee Relations Committee’s review. The Employee Relations Committee cannot recognize a power of attorney unless it complies with the Plan’s requirements. These requirements include, but are not limited to, requirements that the power of attorney be signed by the principal and notarized. Any benefit payable to or for the benefit of a Member, a Beneficiary, a minor, an incompetent person or other person incapable of receipting therefor shall be deemed paid when paid to such person’s legal representative, guardian, committee appointed for such Member or Beneficiary, or to the party providing or reasonably appearing to provide for the care of such person, and such payment (which may be in installments) shall fully discharge the Employee Relations Committee, all Employers, and all other parties with respect thereto. The Employee Relations Committee may require such Member, legal representative, Beneficiary, guardian or committee, as a condition precedent to such payment, to execute a receipt and release thereof in such form as shall be determined by the Employer.</w:t>
      </w:r>
    </w:p>
    <w:p>
      <w:pPr>
        <w:spacing w:after="0" w:line="1" w:lineRule="exact"/>
        <w:rPr>
          <w:sz w:val="20"/>
          <w:szCs w:val="20"/>
          <w:color w:val="auto"/>
        </w:rPr>
      </w:pPr>
    </w:p>
    <w:p>
      <w:pPr>
        <w:ind w:firstLine="509"/>
        <w:spacing w:after="0" w:line="496" w:lineRule="auto"/>
        <w:rPr>
          <w:sz w:val="20"/>
          <w:szCs w:val="20"/>
          <w:color w:val="auto"/>
        </w:rPr>
      </w:pPr>
      <w:r>
        <w:rPr>
          <w:rFonts w:ascii="Times New Roman" w:cs="Times New Roman" w:eastAsia="Times New Roman" w:hAnsi="Times New Roman"/>
          <w:sz w:val="17"/>
          <w:szCs w:val="17"/>
          <w:color w:val="auto"/>
        </w:rPr>
        <w:t xml:space="preserve">Section 4.13 </w:t>
      </w:r>
      <w:r>
        <w:rPr>
          <w:rFonts w:ascii="Times New Roman" w:cs="Times New Roman" w:eastAsia="Times New Roman" w:hAnsi="Times New Roman"/>
          <w:sz w:val="17"/>
          <w:szCs w:val="17"/>
          <w:u w:val="single" w:color="auto"/>
          <w:color w:val="auto"/>
        </w:rPr>
        <w:t>Burden of Proof Regarding Records</w:t>
      </w:r>
      <w:r>
        <w:rPr>
          <w:rFonts w:ascii="Times New Roman" w:cs="Times New Roman" w:eastAsia="Times New Roman" w:hAnsi="Times New Roman"/>
          <w:sz w:val="17"/>
          <w:szCs w:val="17"/>
          <w:color w:val="auto"/>
        </w:rPr>
        <w:t>. The records of the Employer and any member of the Employer’s Group with respect to length of employment, employment history, compensation, absences from employment and all other relevant matters may be conclusively relied on by the Employee Relations Committee for purposes of determining an individual’s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00" w:top="1243" w:right="359" w:bottom="1440" w:gutter="0" w:footer="0" w:header="0"/>
        </w:sectPr>
      </w:pPr>
    </w:p>
    <w:bookmarkStart w:id="271" w:name="page272"/>
    <w:bookmarkEnd w:id="271"/>
    <w:p>
      <w:pPr>
        <w:spacing w:after="0" w:line="485" w:lineRule="auto"/>
        <w:rPr>
          <w:sz w:val="20"/>
          <w:szCs w:val="20"/>
          <w:color w:val="auto"/>
        </w:rPr>
      </w:pPr>
      <w:r>
        <w:rPr>
          <w:rFonts w:ascii="Times New Roman" w:cs="Times New Roman" w:eastAsia="Times New Roman" w:hAnsi="Times New Roman"/>
          <w:sz w:val="17"/>
          <w:szCs w:val="17"/>
          <w:color w:val="auto"/>
        </w:rPr>
        <w:t>eligibility or entitlement to Plan benefits, the amount of Plan benefits payable to an individual, the appropriate timing of payment of Plan benefits to an individual, and so forth. If an individual claiming benefits under the Plan believes those records are incorrect, the individual may provide documentation supporting his or her position to the Employee Relations Committee for review and consideration. However, the decision of the Employee Relations Committee with respect to any records dispute shall be final and binding on all parties. The Employer, Group, the Employee Relations Committee, and all other persons or entities associated with the operation of the Plan, the management of its assets, and the provision of benefits thereunder, may reasonably rely on the truth, accuracy and completeness of all data provided by any Member or Beneficiary, including, without limitation, data with respect to age, health and marital status. Furthermore, the Employer, Group, and the Employee Relations Committee and all other persons or entities associated with the operation of the Plan, its assets and the benefits provided under the Plan may reasonably rely on all consents, elections and designations filed with the Plan or those associated with the operation of the Plan and its corresponding trust by any Member, the spouse of any Member, any Beneficiary of any Member, or the representatives of such persons without duty to inquire into the genuineness of any such consent, election or designation. None of the aforementioned persons or entities associated with the operation of the Plan, its assets and the benefits provided under the Plan shall have any duty to inquire into any such data, and all may rely on such data being current to the date of reference, it being the duty of the Members, spouses of Members, and Beneficiaries to advise the appropriate parties of any change in such data.</w:t>
      </w: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140"/>
          </w:cols>
          <w:pgMar w:left="300" w:top="1243" w:right="459" w:bottom="1440" w:gutter="0" w:footer="0" w:header="0"/>
        </w:sectPr>
      </w:pPr>
    </w:p>
    <w:bookmarkStart w:id="272" w:name="page273"/>
    <w:bookmarkEnd w:id="27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TEMPORARY COVID-19 PANDEMIC-RELATED RELIEF PROVISION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DOL and IRS Extension of Claims and Appeals Deadline Relief</w:t>
      </w:r>
    </w:p>
    <w:p>
      <w:pPr>
        <w:spacing w:after="0" w:line="261" w:lineRule="exact"/>
        <w:rPr>
          <w:sz w:val="20"/>
          <w:szCs w:val="20"/>
          <w:color w:val="auto"/>
        </w:rPr>
      </w:pPr>
    </w:p>
    <w:p>
      <w:pPr>
        <w:ind w:firstLine="509"/>
        <w:spacing w:after="0" w:line="488" w:lineRule="auto"/>
        <w:rPr>
          <w:sz w:val="20"/>
          <w:szCs w:val="20"/>
          <w:color w:val="auto"/>
        </w:rPr>
      </w:pPr>
      <w:r>
        <w:rPr>
          <w:rFonts w:ascii="Times New Roman" w:cs="Times New Roman" w:eastAsia="Times New Roman" w:hAnsi="Times New Roman"/>
          <w:sz w:val="17"/>
          <w:szCs w:val="17"/>
          <w:color w:val="auto"/>
        </w:rPr>
        <w:t>With respect to any requirement for Participant or Beneficiaries to timely furnish a notice or document or comply with a claims procedure deadline during the period between March 1, 2020 and the earlier of (1) 60 days after the announced end of the COVID-19 National Emergency or (2) one year from the date the deadline would have begun running for the participant or beneficiary, as applicable, relief pursuant to EBSA Disaster Relief Notice 2020-01, the Extension of Certain Timeframes for Employee Benefit Plans, Participants, and Beneficiaries Affected by the COVID–19 Outbreak published in the Federal Register on May 4, 2020, and any other or subsequent applicable guidance by the IRS, Department of Labor or Treasury Department, shall apply. The Employee Relations Committee or its delegates and other responsible fiduciaries under the Plan shall act in good faith and furnish any required notice, disclosure, or document or comply with any applicable deadline as soon as administratively practicable under the circumstances or as set forth in such guidance (or other or subsequent applicable guidance).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60"/>
          </w:cols>
          <w:pgMar w:left="300" w:top="1313"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580" w:type="dxa"/>
            <w:vAlign w:val="bottom"/>
            <w:gridSpan w:val="3"/>
          </w:tcPr>
          <w:p>
            <w:pPr>
              <w:jc w:val="center"/>
              <w:ind w:right="2996"/>
              <w:spacing w:after="0"/>
              <w:rPr>
                <w:sz w:val="20"/>
                <w:szCs w:val="20"/>
                <w:color w:val="auto"/>
              </w:rPr>
            </w:pPr>
            <w:r>
              <w:rPr>
                <w:rFonts w:ascii="Times New Roman" w:cs="Times New Roman" w:eastAsia="Times New Roman" w:hAnsi="Times New Roman"/>
                <w:sz w:val="14"/>
                <w:szCs w:val="14"/>
                <w:b w:val="1"/>
                <w:bCs w:val="1"/>
                <w:color w:val="auto"/>
                <w:w w:val="99"/>
              </w:rPr>
              <w:t>COLGATE-PALMOLIVE COMPANY</w:t>
            </w:r>
          </w:p>
        </w:tc>
      </w:tr>
      <w:tr>
        <w:trPr>
          <w:trHeight w:val="155"/>
        </w:trPr>
        <w:tc>
          <w:tcPr>
            <w:tcW w:w="10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80" w:type="dxa"/>
            <w:vAlign w:val="bottom"/>
            <w:gridSpan w:val="3"/>
          </w:tcPr>
          <w:p>
            <w:pPr>
              <w:jc w:val="center"/>
              <w:ind w:right="2976"/>
              <w:spacing w:after="0" w:line="155" w:lineRule="exact"/>
              <w:rPr>
                <w:sz w:val="20"/>
                <w:szCs w:val="20"/>
                <w:color w:val="auto"/>
              </w:rPr>
            </w:pPr>
            <w:r>
              <w:rPr>
                <w:rFonts w:ascii="Times New Roman" w:cs="Times New Roman" w:eastAsia="Times New Roman" w:hAnsi="Times New Roman"/>
                <w:sz w:val="14"/>
                <w:szCs w:val="14"/>
                <w:b w:val="1"/>
                <w:bCs w:val="1"/>
                <w:color w:val="auto"/>
              </w:rPr>
              <w:t>SUBSIDIARIES OF THE REGISTRANT</w:t>
            </w:r>
          </w:p>
        </w:tc>
      </w:tr>
      <w:tr>
        <w:trPr>
          <w:trHeight w:val="171"/>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Name of Company</w:t>
            </w:r>
          </w:p>
        </w:tc>
        <w:tc>
          <w:tcPr>
            <w:tcW w:w="3280" w:type="dxa"/>
            <w:vAlign w:val="bottom"/>
          </w:tcPr>
          <w:p>
            <w:pPr>
              <w:spacing w:after="0"/>
              <w:rPr>
                <w:sz w:val="14"/>
                <w:szCs w:val="14"/>
                <w:color w:val="auto"/>
              </w:rPr>
            </w:pPr>
          </w:p>
        </w:tc>
        <w:tc>
          <w:tcPr>
            <w:tcW w:w="2540" w:type="dxa"/>
            <w:vAlign w:val="bottom"/>
            <w:tcBorders>
              <w:top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Jurisdiction of Organization</w:t>
            </w:r>
          </w:p>
        </w:tc>
      </w:tr>
      <w:tr>
        <w:trPr>
          <w:trHeight w:val="177"/>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887357 Ontario Inc.</w:t>
            </w:r>
          </w:p>
        </w:tc>
        <w:tc>
          <w:tcPr>
            <w:tcW w:w="2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Canada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Cleaning Dimensions,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COLGALIVE S.A.</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Dominican Republic</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(BVI)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British Virgin Islands</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(Guangzhou) Company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China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(U.K.)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Business Services of the Americas, S.C.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Mexico</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Flavors and Fragrances,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Global Business Services Private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India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Holdings</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Oral Pharmaceuticals,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Palmolive Ghana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Ghana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Palmolive Holding S.Com.P.A.</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Palmolive LLC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United Arab Emirates</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Palmolive Nouvelle Caledonie Sarl</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New Caldonia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Palmolive Tanzania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Tanzania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Sanxiao Company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China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Tolaram Pte. Ltd.*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Singapore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Venture Company,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(America),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(Asia) Pte, Ltd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Singapore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(Blantyre)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Malawi</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(Brunei) Sdn Bhn</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Brunei</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(Central America) Inc. y Compañia Limitada</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Guatemala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(Central America),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(Centro America) S.A.</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Guatemala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(China) Co. Ltd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China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(Costa Rica), S.A.</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Costa Rica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(Dominica),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(Dominican Republic),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(East Africa)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Kenya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(Eastern) Pte. Ltd.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Singapore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(Egypt) S.A.E.</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Delaware/Egypt</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(Fiji) Pte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Fiji</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(Gabon), S.A.</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Gabon</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(Gulf States) Ltd. *</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British Virgin Islands</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(Guyana) Ltd.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Guyana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(H.K.)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Hong Kong</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(Hellas) S.A. I.C.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Greece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(Hong Kong) Holding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Hong Kong</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(India) Limited *</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India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(Kazakhstan), L.L.P.</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Kazakhstan</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(Latvia) Ltd.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Latvia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(Malaysia) Sdn Bhd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Malaysia</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(Middle East Exports) Ltd.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British Virgin Islands</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(Myanmar) Limited</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Myanmar</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(New York), Inc.</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Colgate-Palmolive (Poland) Sp. z o.o.</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Poland</w:t>
            </w:r>
          </w:p>
        </w:tc>
      </w:tr>
    </w:tbl>
    <w:p>
      <w:pPr>
        <w:sectPr>
          <w:pgSz w:w="11900" w:h="16838" w:orient="portrait"/>
          <w:cols w:equalWidth="0" w:num="1">
            <w:col w:w="11200"/>
          </w:cols>
          <w:pgMar w:left="380" w:top="727" w:right="3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3"/>
          <w:szCs w:val="13"/>
          <w:color w:val="auto"/>
        </w:rPr>
        <w:t>Colgate-Palmolive (Proprietary)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(Research &amp; Development),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(Romania) SRL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(Thailand)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(Uganda)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(UK)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(Vietnam)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(Zambia)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(Zimbabwe),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A.B.</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Adria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Arabia Ltd. *</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Argentina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Asia Pacific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Asia Pacific Treasury Services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Belgium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Bolivia, Ltda.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Cameroun S.A. *</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Canada,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Caricom Service Co.,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Central European Management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Česká republika spol. s r.o.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Chile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Comercial Ltda.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Commercial (Hellas) SP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Commerciale S.A.S.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Commericale S.r.l.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Compania Anonima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Company, Distr.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de Paraguay Sociedad Anonima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de Puerto Rico,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del Ecuador, S.A.I.C.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del Peru (Delaware)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Development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East West Africa Region (Pty)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Enterprises,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Espana,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Europe Sarl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Finance (UK) plc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Global Trading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Holding Argentina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Colgate-Palmolive Hungary Kft, Limited Liability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IHQ Services (Thailand)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Inc.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Industrial Ltda.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Industriel S.A.S.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International Holding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International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Investment Co.,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Investments (BVI)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Investments (PNG)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Investments,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South Africa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Romania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Thailand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Uganda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Vietnam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Sweden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Denmark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Slovenia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Saudi Arabia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Argentina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Hong Kong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Hong Kong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Belgium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Bolivia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Cameroon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Canada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Puerto Rico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Czech Republic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Chile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Brazil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Greece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Venezuela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Puerto Rico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Paraguay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Ecuador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South Africa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Spain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Switzerland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Argentina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Hungary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Thailand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Uruguay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Brazil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British Virgin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Papua New Guinea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United Kingdom</w:t>
      </w:r>
    </w:p>
    <w:p>
      <w:pPr>
        <w:sectPr>
          <w:pgSz w:w="11900" w:h="16838" w:orient="portrait"/>
          <w:cols w:equalWidth="0" w:num="2">
            <w:col w:w="7620" w:space="720"/>
            <w:col w:w="1739"/>
          </w:cols>
          <w:pgMar w:left="380" w:top="765"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3"/>
          <w:szCs w:val="13"/>
          <w:color w:val="auto"/>
        </w:rPr>
        <w:t>Colgate-Palmolive Investments,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Israel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Italia, S.r.l.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JSC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Lanka (Private)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Latin America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Manufacturing (Poland) Sp. z o.o.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Marketing Sdn Bhd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Maroc,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Mocambique Limitada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Nederland B.V.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Norge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Peru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Philippines,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Pty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Retirement Trustee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S.p.A.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Services (Hellas)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Services (Poland) Sp. z o.o.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Services CEW GmbH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Services,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Slovensko, s.r.o.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Support Services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Colgate-Palmolive Temizlik Urunleri Sanayi ve Ticart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Transnational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Ukraine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Lda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Colgate-Palmolive, S.A. de C.V.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Colpal CBS, S de R. L. de C. 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Consumer Viewpoint Center,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Cotelle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CP GABA GmbH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CP International Holding C.V.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CP Skin Health Group,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Dimac Development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Dominica Coconut Products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EKIB,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ELM Company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Elta MD Holdings,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Elta MD (Shanghai) Trade Co.,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Filorga Americas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Filorga Asia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Filorga Benelux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Filorga Cosmetiques Polska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Filorga Mexico Cosmetic, S.A. de C.V.*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Filorga Middle East DMCC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Filorga Portugal, Unipessoal, Lda.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Filorga RU, Limited Liability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FZG Holdings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GABA Europe Holding GmbH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GABA International Holding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GABA Schweiz AG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GABA Therwil GmbH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Gamma Development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Israel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Russia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Sri Lanka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Zealand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Malaysia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Morocco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Mozambique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Netherlands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Norway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Peru</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Philippines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Australia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Zealand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Greece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Slovakia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Ireland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Turkey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Ukraine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Portugal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Mexico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Mexico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Jersey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Netherlands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Dominica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Bermuda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Hong Kong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Belgium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Mexico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United Arab Emirates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Portugal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Russia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Hong Kong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Switzerland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Switzerland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Switzerland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Thailand</w:t>
      </w:r>
    </w:p>
    <w:p>
      <w:pPr>
        <w:sectPr>
          <w:pgSz w:w="11900" w:h="16838" w:orient="portrait"/>
          <w:cols w:equalWidth="0" w:num="2">
            <w:col w:w="7620" w:space="720"/>
            <w:col w:w="1739"/>
          </w:cols>
          <w:pgMar w:left="380" w:top="765"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3"/>
          <w:szCs w:val="13"/>
          <w:color w:val="auto"/>
        </w:rPr>
        <w:t>Global Trading and Supply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Hamol,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Hawley &amp; Hazel (BVI) Company Ltd. *</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Hello Products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Funding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(NZ)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(Thailand) Co.,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Asia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B.V.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Canada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de Mexico, S.A. de C.V.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de Puerto Rico,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Denmark ApS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Espana, S.L.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GmbH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Holding B.V.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Indiana,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Italia, S.r.l.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Korea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Manufacturing, B.V.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Manufacturing srl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Manufacturing, s.r.o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Norway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OOO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(OAC)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Pty.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s.r.o.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Sales,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SNC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Hill’s Pet Nutrition South Africa Proprietary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Sweden AB</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Switzerland GmbH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Taiwan,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Trading (GZ) Co.,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Nutrition, S.p.A.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Products (Benelux)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Pet Products,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 Veterinary Companies of America,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Hill’s-Colgate (Japan)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Hopro Liquidating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HPN Manufacturing Holdings,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HPN Manufacturing,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Hygiene Systemes et Services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IES Enterprises,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Inmobiliaria Colpal, S. de R.L. de C.V.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Inmobiliaria Hills, S.A. de C.V.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Innovacion Creativa, S.A. de C.V.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Kolynos Corporation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Laboratoires Filorga Cosmetiques Espana S.L.U.</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Laboratoires Filorga Cosmetiques Italia S.R.L.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Laboratoires Filorga Cosmétiques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Lournay Sales,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Mennen de Chile,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British Virgin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Zealand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Thailand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Hong Kong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Netherlands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Canada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Mexico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Puerto Rico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Denmark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Spain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Netherlands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Korea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Netherlands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Czech Republic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Norway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Russia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Australia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Czech Republic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South Africa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Sweden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Switzerland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Taiwan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Belgium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Japan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Ohio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Tunisia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Massachusetts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Mexico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Mexico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Mexico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Spain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ectPr>
          <w:pgSz w:w="11900" w:h="16838" w:orient="portrait"/>
          <w:cols w:equalWidth="0" w:num="2">
            <w:col w:w="7620" w:space="720"/>
            <w:col w:w="1739"/>
          </w:cols>
          <w:pgMar w:left="380" w:top="765"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3"/>
          <w:szCs w:val="13"/>
          <w:color w:val="auto"/>
        </w:rPr>
        <w:t>Mennen de Nicargua,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Mennen Interamerica,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Mennen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Mennen South Africa,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Mission Hills Property Corporation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Mission Hills, S.A. de C.V.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Norwood International, Incorporated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Olive Music Publishing Corporation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P.T. Colgate Palmolive Indonesia *</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Paramount Research,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Penny,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Pet Chemicals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Productos Halogenados Copalven, 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Purity Holding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Purity Music Publishing Corporation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Samuel Taylor Holdings B.V.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Sanxiao Company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Services Development Co.,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Societe Generale de Negoce et de Services (GENESE) 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GDN - The Global Distributive Network SAS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Lournay Company,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MPDP - The Medical and Pharmaceutic Distributive Platform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Murphy-Phoenix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Tom’s of Maine Holdings,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Tom’s of Maine,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Veterinary Companies of America,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Vipont Pharmaceutical,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Weda (Beijing)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Mexico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Indonesia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Florida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Venezuela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Hong Kong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Thailand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Tunisia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Ohio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Maine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200" w:lineRule="exact"/>
        <w:rPr>
          <w:sz w:val="20"/>
          <w:szCs w:val="20"/>
          <w:color w:val="auto"/>
        </w:rPr>
      </w:pPr>
    </w:p>
    <w:p>
      <w:pPr>
        <w:sectPr>
          <w:pgSz w:w="11900" w:h="16838" w:orient="portrait"/>
          <w:cols w:equalWidth="0" w:num="2">
            <w:col w:w="7620" w:space="720"/>
            <w:col w:w="1739"/>
          </w:cols>
          <w:pgMar w:left="380" w:top="765" w:right="1440" w:bottom="1440" w:gutter="0" w:footer="0" w:header="0"/>
        </w:sectPr>
      </w:pP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Indicates a company that is not wholly owned, directly or indirectly, by Colgate-Palmolive Company.</w:t>
      </w:r>
    </w:p>
    <w:p>
      <w:pPr>
        <w:sectPr>
          <w:pgSz w:w="11900" w:h="16838" w:orient="portrait"/>
          <w:cols w:equalWidth="0" w:num="1">
            <w:col w:w="10079"/>
          </w:cols>
          <w:pgMar w:left="380" w:top="765" w:right="1440" w:bottom="1440" w:gutter="0" w:footer="0" w:header="0"/>
          <w:type w:val="continuous"/>
        </w:sectPr>
      </w:pPr>
    </w:p>
    <w:bookmarkStart w:id="278" w:name="page279"/>
    <w:bookmarkEnd w:id="278"/>
    <w:p>
      <w:pPr>
        <w:jc w:val="right"/>
        <w:spacing w:after="0"/>
        <w:rPr>
          <w:sz w:val="20"/>
          <w:szCs w:val="20"/>
          <w:color w:val="auto"/>
        </w:rPr>
      </w:pPr>
      <w:r>
        <w:rPr>
          <w:rFonts w:ascii="Times New Roman" w:cs="Times New Roman" w:eastAsia="Times New Roman" w:hAnsi="Times New Roman"/>
          <w:sz w:val="14"/>
          <w:szCs w:val="14"/>
          <w:b w:val="1"/>
          <w:bCs w:val="1"/>
          <w:color w:val="auto"/>
        </w:rPr>
        <w:t>EXHIBIT 23</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 (No. 333-249768) and Form S-8 (Nos. 33-58746, 33-64753, 333-45679, 333-132038, 333-171448, 333-188528, and 333-231380) of Colgate-Palmolive Company of our report dated February 16, 2023 relating to the financial statements, financial statement schedule and the effectiveness of internal control over financial reporting, which appears in this Form 10-K.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16, 2023</w:t>
      </w:r>
    </w:p>
    <w:p>
      <w:pPr>
        <w:sectPr>
          <w:pgSz w:w="11900" w:h="16838" w:orient="portrait"/>
          <w:cols w:equalWidth="0" w:num="1">
            <w:col w:w="11280"/>
          </w:cols>
          <w:pgMar w:left="300" w:top="727" w:right="31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87" w:lineRule="exact"/>
        <w:rPr>
          <w:sz w:val="20"/>
          <w:szCs w:val="20"/>
          <w:color w:val="auto"/>
        </w:rPr>
      </w:pPr>
    </w:p>
    <w:p>
      <w:pPr>
        <w:ind w:right="40" w:firstLine="141"/>
        <w:spacing w:after="0" w:line="248" w:lineRule="auto"/>
        <w:rPr>
          <w:sz w:val="20"/>
          <w:szCs w:val="20"/>
          <w:color w:val="auto"/>
        </w:rPr>
      </w:pPr>
      <w:r>
        <w:rPr>
          <w:rFonts w:ascii="Times New Roman" w:cs="Times New Roman" w:eastAsia="Times New Roman" w:hAnsi="Times New Roman"/>
          <w:sz w:val="16"/>
          <w:szCs w:val="16"/>
          <w:color w:val="auto"/>
        </w:rPr>
        <w:t>I, John P. Bilbrey,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16th day of February, 2023.</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John P. Bilbrey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6723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John P. Bilbrey</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98" w:lineRule="exact"/>
        <w:rPr>
          <w:sz w:val="20"/>
          <w:szCs w:val="20"/>
          <w:color w:val="auto"/>
        </w:rPr>
      </w:pPr>
    </w:p>
    <w:p>
      <w:pPr>
        <w:ind w:right="40" w:firstLine="141"/>
        <w:spacing w:after="0" w:line="248" w:lineRule="auto"/>
        <w:rPr>
          <w:sz w:val="20"/>
          <w:szCs w:val="20"/>
          <w:color w:val="auto"/>
        </w:rPr>
      </w:pPr>
      <w:r>
        <w:rPr>
          <w:rFonts w:ascii="Times New Roman" w:cs="Times New Roman" w:eastAsia="Times New Roman" w:hAnsi="Times New Roman"/>
          <w:sz w:val="16"/>
          <w:szCs w:val="16"/>
          <w:color w:val="auto"/>
        </w:rPr>
        <w:t>I, John T. Cahill,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16th day of February, 2023.</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John T.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6723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John T. Cahill</w:t>
      </w:r>
    </w:p>
    <w:p>
      <w:pPr>
        <w:sectPr>
          <w:pgSz w:w="11900" w:h="16838" w:orient="portrait"/>
          <w:cols w:equalWidth="0" w:num="1">
            <w:col w:w="11280"/>
          </w:cols>
          <w:pgMar w:left="300" w:top="730" w:right="31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87" w:lineRule="exact"/>
        <w:rPr>
          <w:sz w:val="20"/>
          <w:szCs w:val="20"/>
          <w:color w:val="auto"/>
        </w:rPr>
      </w:pPr>
    </w:p>
    <w:p>
      <w:pPr>
        <w:ind w:right="60" w:firstLine="141"/>
        <w:spacing w:after="0" w:line="248" w:lineRule="auto"/>
        <w:rPr>
          <w:sz w:val="20"/>
          <w:szCs w:val="20"/>
          <w:color w:val="auto"/>
        </w:rPr>
      </w:pPr>
      <w:r>
        <w:rPr>
          <w:rFonts w:ascii="Times New Roman" w:cs="Times New Roman" w:eastAsia="Times New Roman" w:hAnsi="Times New Roman"/>
          <w:sz w:val="16"/>
          <w:szCs w:val="16"/>
          <w:color w:val="auto"/>
        </w:rPr>
        <w:t>I, Steven A. Cahillane,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7th day of February, 2023.</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Steven A. Cahillane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6723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Steven A. Cahillane</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98" w:lineRule="exact"/>
        <w:rPr>
          <w:sz w:val="20"/>
          <w:szCs w:val="20"/>
          <w:color w:val="auto"/>
        </w:rPr>
      </w:pPr>
    </w:p>
    <w:p>
      <w:pPr>
        <w:jc w:val="both"/>
        <w:ind w:right="40" w:firstLine="141"/>
        <w:spacing w:after="0" w:line="248" w:lineRule="auto"/>
        <w:rPr>
          <w:sz w:val="20"/>
          <w:szCs w:val="20"/>
          <w:color w:val="auto"/>
        </w:rPr>
      </w:pPr>
      <w:r>
        <w:rPr>
          <w:rFonts w:ascii="Times New Roman" w:cs="Times New Roman" w:eastAsia="Times New Roman" w:hAnsi="Times New Roman"/>
          <w:sz w:val="16"/>
          <w:szCs w:val="16"/>
          <w:color w:val="auto"/>
        </w:rPr>
        <w:t>I, Lisa M. Edwards,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16th day of February, 2023.</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Lisa M.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6723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Lisa M. Edwards</w:t>
      </w:r>
    </w:p>
    <w:p>
      <w:pPr>
        <w:sectPr>
          <w:pgSz w:w="11900" w:h="16838" w:orient="portrait"/>
          <w:cols w:equalWidth="0" w:num="1">
            <w:col w:w="11280"/>
          </w:cols>
          <w:pgMar w:left="300" w:top="730" w:right="31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87" w:lineRule="exact"/>
        <w:rPr>
          <w:sz w:val="20"/>
          <w:szCs w:val="20"/>
          <w:color w:val="auto"/>
        </w:rPr>
      </w:pPr>
    </w:p>
    <w:p>
      <w:pPr>
        <w:jc w:val="both"/>
        <w:ind w:right="40" w:firstLine="141"/>
        <w:spacing w:after="0" w:line="248" w:lineRule="auto"/>
        <w:rPr>
          <w:sz w:val="20"/>
          <w:szCs w:val="20"/>
          <w:color w:val="auto"/>
        </w:rPr>
      </w:pPr>
      <w:r>
        <w:rPr>
          <w:rFonts w:ascii="Times New Roman" w:cs="Times New Roman" w:eastAsia="Times New Roman" w:hAnsi="Times New Roman"/>
          <w:sz w:val="16"/>
          <w:szCs w:val="16"/>
          <w:color w:val="auto"/>
        </w:rPr>
        <w:t>I, C. Martin Harris,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16th day of February, 2023.</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C. Martin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6723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C. Martin Harris</w:t>
      </w:r>
    </w:p>
    <w:p>
      <w:pPr>
        <w:sectPr>
          <w:pgSz w:w="11900" w:h="16838" w:orient="portrait"/>
          <w:cols w:equalWidth="0" w:num="1">
            <w:col w:w="11280"/>
          </w:cols>
          <w:pgMar w:left="300" w:top="730" w:right="31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87" w:lineRule="exact"/>
        <w:rPr>
          <w:sz w:val="20"/>
          <w:szCs w:val="20"/>
          <w:color w:val="auto"/>
        </w:rPr>
      </w:pPr>
    </w:p>
    <w:p>
      <w:pPr>
        <w:ind w:firstLine="141"/>
        <w:spacing w:after="0"/>
        <w:rPr>
          <w:sz w:val="20"/>
          <w:szCs w:val="20"/>
          <w:color w:val="auto"/>
        </w:rPr>
      </w:pPr>
      <w:r>
        <w:rPr>
          <w:rFonts w:ascii="Times New Roman" w:cs="Times New Roman" w:eastAsia="Times New Roman" w:hAnsi="Times New Roman"/>
          <w:sz w:val="16"/>
          <w:szCs w:val="16"/>
          <w:color w:val="auto"/>
        </w:rPr>
        <w:t>I, Martina Hund-Mejean,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16th day of February, 2023.</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Martina Hund-Mejean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04152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2041525"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Martina Hund-Mejean</w:t>
      </w: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87" w:lineRule="exact"/>
        <w:rPr>
          <w:sz w:val="20"/>
          <w:szCs w:val="20"/>
          <w:color w:val="auto"/>
        </w:rPr>
      </w:pPr>
    </w:p>
    <w:p>
      <w:pPr>
        <w:ind w:right="40" w:firstLine="141"/>
        <w:spacing w:after="0" w:line="237" w:lineRule="auto"/>
        <w:rPr>
          <w:sz w:val="20"/>
          <w:szCs w:val="20"/>
          <w:color w:val="auto"/>
        </w:rPr>
      </w:pPr>
      <w:r>
        <w:rPr>
          <w:rFonts w:ascii="Times New Roman" w:cs="Times New Roman" w:eastAsia="Times New Roman" w:hAnsi="Times New Roman"/>
          <w:sz w:val="16"/>
          <w:szCs w:val="16"/>
          <w:color w:val="auto"/>
        </w:rPr>
        <w:t>I, Kimberly A. Nelson,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16th day of February, 2023.</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Kimberly A.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04152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2041525"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Kimberly A. Nelson</w:t>
      </w:r>
    </w:p>
    <w:p>
      <w:pPr>
        <w:sectPr>
          <w:pgSz w:w="11900" w:h="16838" w:orient="portrait"/>
          <w:cols w:equalWidth="0" w:num="1">
            <w:col w:w="11280"/>
          </w:cols>
          <w:pgMar w:left="300" w:top="730" w:right="31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87" w:lineRule="exact"/>
        <w:rPr>
          <w:sz w:val="20"/>
          <w:szCs w:val="20"/>
          <w:color w:val="auto"/>
        </w:rPr>
      </w:pPr>
    </w:p>
    <w:p>
      <w:pPr>
        <w:ind w:firstLine="141"/>
        <w:spacing w:after="0" w:line="248" w:lineRule="auto"/>
        <w:rPr>
          <w:sz w:val="20"/>
          <w:szCs w:val="20"/>
          <w:color w:val="auto"/>
        </w:rPr>
      </w:pPr>
      <w:r>
        <w:rPr>
          <w:rFonts w:ascii="Times New Roman" w:cs="Times New Roman" w:eastAsia="Times New Roman" w:hAnsi="Times New Roman"/>
          <w:sz w:val="16"/>
          <w:szCs w:val="16"/>
          <w:color w:val="auto"/>
        </w:rPr>
        <w:t>I, Lorrie M. Norrington,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16th day of February, 2023.</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Lorrie M.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6723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Lorrie M. Norrington</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98" w:lineRule="exact"/>
        <w:rPr>
          <w:sz w:val="20"/>
          <w:szCs w:val="20"/>
          <w:color w:val="auto"/>
        </w:rPr>
      </w:pPr>
    </w:p>
    <w:p>
      <w:pPr>
        <w:jc w:val="both"/>
        <w:ind w:right="40" w:firstLine="141"/>
        <w:spacing w:after="0" w:line="248" w:lineRule="auto"/>
        <w:rPr>
          <w:sz w:val="20"/>
          <w:szCs w:val="20"/>
          <w:color w:val="auto"/>
        </w:rPr>
      </w:pPr>
      <w:r>
        <w:rPr>
          <w:rFonts w:ascii="Times New Roman" w:cs="Times New Roman" w:eastAsia="Times New Roman" w:hAnsi="Times New Roman"/>
          <w:sz w:val="16"/>
          <w:szCs w:val="16"/>
          <w:color w:val="auto"/>
        </w:rPr>
        <w:t>I, Michael B. Polk,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15th day of February, 2023.</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Michael B.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6723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Michael B. Polk</w:t>
      </w:r>
    </w:p>
    <w:p>
      <w:pPr>
        <w:sectPr>
          <w:pgSz w:w="11900" w:h="16838" w:orient="portrait"/>
          <w:cols w:equalWidth="0" w:num="1">
            <w:col w:w="11280"/>
          </w:cols>
          <w:pgMar w:left="300" w:top="730" w:right="31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 ALL PERSONS BY THESE PRESENTS:</w:t>
      </w:r>
    </w:p>
    <w:p>
      <w:pPr>
        <w:spacing w:after="0" w:line="187" w:lineRule="exact"/>
        <w:rPr>
          <w:sz w:val="20"/>
          <w:szCs w:val="20"/>
          <w:color w:val="auto"/>
        </w:rPr>
      </w:pPr>
    </w:p>
    <w:p>
      <w:pPr>
        <w:ind w:firstLine="141"/>
        <w:spacing w:after="0" w:line="248" w:lineRule="auto"/>
        <w:rPr>
          <w:sz w:val="20"/>
          <w:szCs w:val="20"/>
          <w:color w:val="auto"/>
        </w:rPr>
      </w:pPr>
      <w:r>
        <w:rPr>
          <w:rFonts w:ascii="Times New Roman" w:cs="Times New Roman" w:eastAsia="Times New Roman" w:hAnsi="Times New Roman"/>
          <w:sz w:val="16"/>
          <w:szCs w:val="16"/>
          <w:color w:val="auto"/>
        </w:rPr>
        <w:t>I, Stephen I. Sadove,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2022,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 witness whereof, I have executed this Power of Attorney this 16th day of February, 2023.</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Stephen I. Sadove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6723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1967230"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Stephen I. Sadove</w:t>
      </w:r>
    </w:p>
    <w:p>
      <w:pPr>
        <w:sectPr>
          <w:pgSz w:w="11900" w:h="16838" w:orient="portrait"/>
          <w:cols w:equalWidth="0" w:num="1">
            <w:col w:w="11280"/>
          </w:cols>
          <w:pgMar w:left="300" w:top="730" w:right="31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4"/>
          <w:szCs w:val="14"/>
          <w:b w:val="1"/>
          <w:bCs w:val="1"/>
          <w:color w:val="auto"/>
        </w:rPr>
        <w:t>EXHIBIT 31-A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Noel R. Wallace, certify that:</w:t>
      </w:r>
    </w:p>
    <w:p>
      <w:pPr>
        <w:spacing w:after="0" w:line="94" w:lineRule="exact"/>
        <w:rPr>
          <w:sz w:val="20"/>
          <w:szCs w:val="20"/>
          <w:color w:val="auto"/>
        </w:rPr>
      </w:pPr>
    </w:p>
    <w:p>
      <w:pPr>
        <w:ind w:left="520" w:hanging="515"/>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Colgate-Palmolive Company;</w:t>
      </w:r>
    </w:p>
    <w:p>
      <w:pPr>
        <w:spacing w:after="0" w:line="93"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240" w:hanging="515"/>
        <w:spacing w:after="0" w:line="287"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506"/>
        <w:spacing w:after="0" w:line="270" w:lineRule="auto"/>
        <w:tabs>
          <w:tab w:leader="none" w:pos="101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020" w:right="160" w:hanging="506"/>
        <w:spacing w:after="0" w:line="287" w:lineRule="auto"/>
        <w:tabs>
          <w:tab w:leader="none" w:pos="101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right="160" w:hanging="506"/>
        <w:spacing w:after="0" w:line="287" w:lineRule="auto"/>
        <w:tabs>
          <w:tab w:leader="none" w:pos="1015"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380" w:hanging="515"/>
        <w:spacing w:after="0" w:line="287"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520" w:hanging="506"/>
        <w:spacing w:after="0" w:line="287" w:lineRule="auto"/>
        <w:tabs>
          <w:tab w:leader="none" w:pos="101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16, 2023</w:t>
      </w:r>
    </w:p>
    <w:p>
      <w:pPr>
        <w:spacing w:after="0" w:line="4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14605</wp:posOffset>
            </wp:positionV>
            <wp:extent cx="373253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3732530" cy="6985"/>
                    </a:xfrm>
                    <a:prstGeom prst="rect">
                      <a:avLst/>
                    </a:prstGeom>
                    <a:noFill/>
                  </pic:spPr>
                </pic:pic>
              </a:graphicData>
            </a:graphic>
          </wp:anchor>
        </w:drawing>
      </w:r>
    </w:p>
    <w:p>
      <w:pPr>
        <w:spacing w:after="0" w:line="1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Noel R. Wallace</w:t>
      </w:r>
    </w:p>
    <w:p>
      <w:pPr>
        <w:spacing w:after="0" w:line="23"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color w:val="auto"/>
        </w:rPr>
        <w:t>Chairman of the Board, President and</w:t>
      </w:r>
    </w:p>
    <w:p>
      <w:pPr>
        <w:spacing w:after="0" w:line="2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728" w:right="31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4"/>
          <w:szCs w:val="14"/>
          <w:b w:val="1"/>
          <w:bCs w:val="1"/>
          <w:color w:val="auto"/>
        </w:rPr>
        <w:t>EXHIBIT 31-B</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Stanley J. Sutula III, certify that:</w:t>
      </w:r>
    </w:p>
    <w:p>
      <w:pPr>
        <w:spacing w:after="0" w:line="94" w:lineRule="exact"/>
        <w:rPr>
          <w:sz w:val="20"/>
          <w:szCs w:val="20"/>
          <w:color w:val="auto"/>
        </w:rPr>
      </w:pPr>
    </w:p>
    <w:p>
      <w:pPr>
        <w:ind w:left="520" w:hanging="515"/>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Colgate-Palmolive Company;</w:t>
      </w:r>
    </w:p>
    <w:p>
      <w:pPr>
        <w:spacing w:after="0" w:line="93"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240" w:hanging="515"/>
        <w:spacing w:after="0" w:line="287"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506"/>
        <w:spacing w:after="0" w:line="270" w:lineRule="auto"/>
        <w:tabs>
          <w:tab w:leader="none" w:pos="1018"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020" w:right="160" w:hanging="506"/>
        <w:spacing w:after="0" w:line="287" w:lineRule="auto"/>
        <w:tabs>
          <w:tab w:leader="none" w:pos="1018"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right="160" w:hanging="506"/>
        <w:spacing w:after="0" w:line="287" w:lineRule="auto"/>
        <w:tabs>
          <w:tab w:leader="none" w:pos="1015"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380" w:hanging="515"/>
        <w:spacing w:after="0" w:line="287"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520" w:hanging="506"/>
        <w:spacing w:after="0" w:line="287" w:lineRule="auto"/>
        <w:tabs>
          <w:tab w:leader="none" w:pos="1018"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16, 2023</w:t>
      </w:r>
    </w:p>
    <w:p>
      <w:pPr>
        <w:spacing w:after="0" w:line="4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14605</wp:posOffset>
            </wp:positionV>
            <wp:extent cx="373253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3732530" cy="6985"/>
                    </a:xfrm>
                    <a:prstGeom prst="rect">
                      <a:avLst/>
                    </a:prstGeom>
                    <a:noFill/>
                  </pic:spPr>
                </pic:pic>
              </a:graphicData>
            </a:graphic>
          </wp:anchor>
        </w:drawing>
      </w:r>
    </w:p>
    <w:p>
      <w:pPr>
        <w:spacing w:after="0" w:line="1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Stanley J. Sutula III</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727" w:right="31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Chairman of the Board, President and Chief Executive Officer and Chief Financial Officer of Colgate-Palmolive Company each certify, pursuant to Rule 13a-14(b) under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Exchange Act of 1934 and 18 U.S.C. § 1350, that:</w:t>
      </w:r>
    </w:p>
    <w:p>
      <w:pPr>
        <w:spacing w:after="0" w:line="260" w:lineRule="exact"/>
        <w:rPr>
          <w:sz w:val="20"/>
          <w:szCs w:val="20"/>
          <w:color w:val="auto"/>
        </w:rPr>
      </w:pPr>
    </w:p>
    <w:p>
      <w:pPr>
        <w:ind w:left="520" w:right="20" w:hanging="260"/>
        <w:spacing w:after="0" w:line="287" w:lineRule="auto"/>
        <w:tabs>
          <w:tab w:leader="none" w:pos="51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for the year ended December 31, 2022 (the “Annual Report”) which this statement accompanies, fully complies with the requirements of Sections 13(a) and 15(d) of the Securities Exchange Act of 1934;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contained in the Annual Report fairly presents, in all material respects, the financial condition and results of operations of Colgate-Palmolive Company.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16, 2023</w:t>
      </w:r>
    </w:p>
    <w:p>
      <w:pPr>
        <w:spacing w:after="0" w:line="3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10972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4109720" cy="6985"/>
                    </a:xfrm>
                    <a:prstGeom prst="rect">
                      <a:avLst/>
                    </a:prstGeom>
                    <a:noFill/>
                  </pic:spPr>
                </pic:pic>
              </a:graphicData>
            </a:graphic>
          </wp:anchor>
        </w:drawing>
      </w:r>
    </w:p>
    <w:p>
      <w:pPr>
        <w:spacing w:after="0" w:line="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Noel R. Wallace</w:t>
      </w:r>
    </w:p>
    <w:p>
      <w:pPr>
        <w:spacing w:after="0" w:line="23"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4"/>
          <w:szCs w:val="14"/>
          <w:color w:val="auto"/>
        </w:rPr>
        <w:t>Chairman of the Board, President and</w:t>
      </w:r>
    </w:p>
    <w:p>
      <w:pPr>
        <w:spacing w:after="0" w:line="26"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5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10972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4109720" cy="6985"/>
                    </a:xfrm>
                    <a:prstGeom prst="rect">
                      <a:avLst/>
                    </a:prstGeom>
                    <a:noFill/>
                  </pic:spPr>
                </pic:pic>
              </a:graphicData>
            </a:graphic>
          </wp:anchor>
        </w:drawing>
      </w:r>
    </w:p>
    <w:p>
      <w:pPr>
        <w:spacing w:after="0" w:line="1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Stanley J. Sutula III</w:t>
      </w:r>
    </w:p>
    <w:p>
      <w:pPr>
        <w:spacing w:after="0" w:line="2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70"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has been provided to Colgate-Palmolive Company and will be retained by Colgate-Palmolive Company and furnished to the Securities and Exchange Commission or its staff upon request.</w:t>
      </w:r>
    </w:p>
    <w:sectPr>
      <w:pgSz w:w="11900" w:h="16838" w:orient="portrait"/>
      <w:cols w:equalWidth="0" w:num="1">
        <w:col w:w="11280"/>
      </w:cols>
      <w:pgMar w:left="300" w:top="80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decimal"/>
      <w:start w:val="10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lowerLetter"/>
      <w:start w:val="3"/>
    </w:lvl>
  </w:abstractNum>
  <w:abstractNum w:abstractNumId="22">
    <w:nsid w:val="580BD78F"/>
    <w:multiLevelType w:val="hybridMultilevel"/>
    <w:lvl w:ilvl="0">
      <w:lvlJc w:val="left"/>
      <w:lvlText w:val="(%1)"/>
      <w:numFmt w:val="lowerRoman"/>
      <w:start w:val="2"/>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2"/>
    </w:lvl>
  </w:abstractNum>
  <w:abstractNum w:abstractNumId="25">
    <w:nsid w:val="70A64E2A"/>
    <w:multiLevelType w:val="hybridMultilevel"/>
    <w:lvl w:ilvl="0">
      <w:lvlJc w:val="left"/>
      <w:lvlText w:val="%1."/>
      <w:numFmt w:val="decimal"/>
      <w:start w:val="3"/>
    </w:lvl>
  </w:abstractNum>
  <w:abstractNum w:abstractNumId="26">
    <w:nsid w:val="6A2342EC"/>
    <w:multiLevelType w:val="hybridMultilevel"/>
    <w:lvl w:ilvl="0">
      <w:lvlJc w:val="left"/>
      <w:lvlText w:val="%1."/>
      <w:numFmt w:val="decimal"/>
      <w:start w:val="5"/>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6"/>
    </w:lvl>
  </w:abstractNum>
  <w:abstractNum w:abstractNumId="29">
    <w:nsid w:val="725A06FB"/>
    <w:multiLevelType w:val="hybridMultilevel"/>
    <w:lvl w:ilvl="0">
      <w:lvlJc w:val="left"/>
      <w:lvlText w:val="%1."/>
      <w:numFmt w:val="decimal"/>
      <w:start w:val="8"/>
    </w:lvl>
  </w:abstractNum>
  <w:abstractNum w:abstractNumId="30">
    <w:nsid w:val="2CD89A32"/>
    <w:multiLevelType w:val="hybridMultilevel"/>
    <w:lvl w:ilvl="0">
      <w:lvlJc w:val="left"/>
      <w:lvlText w:val="%1."/>
      <w:numFmt w:val="decimal"/>
      <w:start w:val="10"/>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8"/>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
      <w:numFmt w:val="bullet"/>
      <w:start w:val="1"/>
    </w:lvl>
    <w:lvl w:ilvl="1">
      <w:lvlJc w:val="left"/>
      <w:lvlText w:val="%2)"/>
      <w:numFmt w:val="decimal"/>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Roman"/>
      <w:start w:val="1"/>
    </w:lvl>
  </w:abstractNum>
  <w:abstractNum w:abstractNumId="52">
    <w:nsid w:val="649BB77C"/>
    <w:multiLevelType w:val="hybridMultilevel"/>
    <w:lvl w:ilvl="0">
      <w:lvlJc w:val="left"/>
      <w:lvlText w:val="(%1)"/>
      <w:numFmt w:val="lowerRoman"/>
      <w:start w:val="3"/>
    </w:lvl>
  </w:abstractNum>
  <w:abstractNum w:abstractNumId="53">
    <w:nsid w:val="275AC794"/>
    <w:multiLevelType w:val="hybridMultilevel"/>
    <w:lvl w:ilvl="0">
      <w:lvlJc w:val="left"/>
      <w:lvlText w:val="(%1)"/>
      <w:numFmt w:val="lowerLetter"/>
      <w:start w:val="3"/>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78" Type="http://schemas.openxmlformats.org/officeDocument/2006/relationships/hyperlink" Target="http://www.sec.gov/Archives/edgar/data/21665/000119312508160116/dex3a.htm" TargetMode="External"/><Relationship Id="rId79" Type="http://schemas.openxmlformats.org/officeDocument/2006/relationships/hyperlink" Target="https://www.sec.gov/Archives/edgar/data/21665/000002166523000005/exhibit301by-laws.htm" TargetMode="External"/><Relationship Id="rId80" Type="http://schemas.openxmlformats.org/officeDocument/2006/relationships/hyperlink" Target="http://www.sec.gov/Archives/edgar/data/21665/000094018000000960/0000940180-00-000960-0002.txt" TargetMode="External"/><Relationship Id="rId81" Type="http://schemas.openxmlformats.org/officeDocument/2006/relationships/hyperlink" Target="http://www.sec.gov/Archives/edgar/data/21665/000120677419001074/cl3440361-def14a.htm#AnnexCColgatePalmoliveCompany2019IncentiveCompensationPlan" TargetMode="External"/><Relationship Id="rId82" Type="http://schemas.openxmlformats.org/officeDocument/2006/relationships/hyperlink" Target="http://www.sec.gov/Archives/edgar/data/21665/000002166519000022/exhibit10c093019q319.htm" TargetMode="External"/><Relationship Id="rId83" Type="http://schemas.openxmlformats.org/officeDocument/2006/relationships/hyperlink" Target="http://www.sec.gov/Archives/edgar/data/21665/000002166519000022/exhibit10d093019q319.htm" TargetMode="External"/><Relationship Id="rId84" Type="http://schemas.openxmlformats.org/officeDocument/2006/relationships/hyperlink" Target="http://www.sec.gov/Archives/edgar/data/21665/000002166520000007/exhibit10a033120q12020.htm" TargetMode="External"/><Relationship Id="rId85" Type="http://schemas.openxmlformats.org/officeDocument/2006/relationships/hyperlink" Target="https://www.sec.gov/Archives/edgar/data/21665/000002166522000010/exhibit10a_033122xq12022.htm" TargetMode="External"/><Relationship Id="rId86" Type="http://schemas.openxmlformats.org/officeDocument/2006/relationships/hyperlink" Target="https://www.sec.gov/Archives/edgar/data/21665/000002166522000010/exhibit10b_033122xq12022.htm" TargetMode="External"/><Relationship Id="rId87" Type="http://schemas.openxmlformats.org/officeDocument/2006/relationships/hyperlink" Target="http://www.sec.gov/Archives/edgar/data/21665/000093041313001901/c73031_def14a.htm#c73031a043_v1" TargetMode="External"/><Relationship Id="rId88" Type="http://schemas.openxmlformats.org/officeDocument/2006/relationships/hyperlink" Target="http://www.sec.gov/Archives/edgar/data/21665/000002166518000006/exhibit10-ab12312017.htm" TargetMode="External"/><Relationship Id="rId89" Type="http://schemas.openxmlformats.org/officeDocument/2006/relationships/hyperlink" Target="http://www.sec.gov/Archives/edgar/data/21665/000002166518000006/exhibit10-ac12312017.htm" TargetMode="External"/><Relationship Id="rId90" Type="http://schemas.openxmlformats.org/officeDocument/2006/relationships/hyperlink" Target="http://www.sec.gov/Archives/edgar/data/21665/000119312507229631/dex10ab.htm" TargetMode="External"/><Relationship Id="rId93" Type="http://schemas.openxmlformats.org/officeDocument/2006/relationships/hyperlink" Target="https://www.sec.gov/Archives/edgar/data/21665/000002166522000003/exhibit10-d12312021.htm" TargetMode="External"/><Relationship Id="rId94" Type="http://schemas.openxmlformats.org/officeDocument/2006/relationships/hyperlink" Target="http://www.sec.gov/Archives/edgar/data/21665/000093041318002885/c92027_ex10-a.htm" TargetMode="External"/><Relationship Id="rId95" Type="http://schemas.openxmlformats.org/officeDocument/2006/relationships/hyperlink" Target="https://www.sec.gov/Archives/edgar/data/21665/000002166522000006/exhibit101colgate-palmoliv.htm" TargetMode="External"/><Relationship Id="rId96" Type="http://schemas.openxmlformats.org/officeDocument/2006/relationships/hyperlink" Target="http://www.sec.gov/Archives/edgar/data/21665/000095013000001590/0000950130-00-001590.txt" TargetMode="External"/><Relationship Id="rId97" Type="http://schemas.openxmlformats.org/officeDocument/2006/relationships/hyperlink" Target="http://www.sec.gov/Archives/edgar/data/21665/0000940180-98-000317.txt" TargetMode="External"/><Relationship Id="rId98" Type="http://schemas.openxmlformats.org/officeDocument/2006/relationships/hyperlink" Target="http://www.sec.gov/Archives/edgar/data/21665/000119312507229631/dex10f.htm" TargetMode="External"/><Relationship Id="rId99" Type="http://schemas.openxmlformats.org/officeDocument/2006/relationships/hyperlink" Target="https://www.sec.gov/Archives/edgar/data/21665/000002166521000027/exhibit10b_093021xq32021.htm" TargetMode="External"/><Relationship Id="rId100" Type="http://schemas.openxmlformats.org/officeDocument/2006/relationships/hyperlink" Target="https://www.sec.gov/Archives/edgar/data/21665/000002166518000006/exhibit10-k1231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2023-02-16T15:51:31Z</dcterms:created>
  <dcterms:modified xsi:type="dcterms:W3CDTF">2023-02-16T15:51:31Z</dcterms:modified>
</cp:coreProperties>
</file>