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76" w:before="0" w:after="0"/>
        <w:ind w:left="0" w:right="0" w:hanging="2"/>
        <w:jc w:val="center"/>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ind w:left="0" w:right="0" w:hanging="2"/>
        <w:jc w:val="center"/>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 May 13, 2026 (May 8, 2026</w:t>
      </w:r>
      <w:r>
        <w:rPr>
          <w:rFonts w:ascii="Arial;sans-serif" w:hAnsi="Arial;sans-serif"/>
          <w:b w:val="false"/>
          <w:color w:val="000000"/>
          <w:sz w:val="24"/>
        </w:rPr>
        <w:t>)</w:t>
      </w:r>
    </w:p>
    <w:p>
      <w:pPr>
        <w:pStyle w:val="TextBody"/>
        <w:bidi w:val="0"/>
        <w:spacing w:before="0" w:after="0"/>
        <w:jc w:val="center"/>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COLGATE-PALMOLIVE COMPANY</w:t>
      </w:r>
    </w:p>
    <w:p>
      <w:pPr>
        <w:pStyle w:val="TextBody"/>
        <w:bidi w:val="0"/>
        <w:spacing w:lineRule="auto" w:line="276" w:before="0" w:after="0"/>
        <w:ind w:left="0" w:right="0" w:hanging="2"/>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before="0" w:after="0"/>
        <w:jc w:val="center"/>
        <w:rPr/>
      </w:pPr>
      <w:r>
        <w:rPr/>
      </w:r>
    </w:p>
    <w:tbl>
      <w:tblPr>
        <w:tblW w:w="8968" w:type="dxa"/>
        <w:jc w:val="center"/>
        <w:tblInd w:w="0" w:type="dxa"/>
        <w:tblLayout w:type="fixed"/>
        <w:tblCellMar>
          <w:top w:w="28" w:type="dxa"/>
          <w:left w:w="28" w:type="dxa"/>
          <w:bottom w:w="28" w:type="dxa"/>
          <w:right w:w="28" w:type="dxa"/>
        </w:tblCellMar>
      </w:tblPr>
      <w:tblGrid>
        <w:gridCol w:w="1348"/>
        <w:gridCol w:w="1178"/>
        <w:gridCol w:w="1193"/>
        <w:gridCol w:w="780"/>
        <w:gridCol w:w="780"/>
        <w:gridCol w:w="794"/>
        <w:gridCol w:w="847"/>
        <w:gridCol w:w="847"/>
        <w:gridCol w:w="1201"/>
      </w:tblGrid>
      <w:tr>
        <w:trPr/>
        <w:tc>
          <w:tcPr>
            <w:tcW w:w="134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3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1-644</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13-1815595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777" w:type="dxa"/>
        <w:jc w:val="center"/>
        <w:tblInd w:w="0" w:type="dxa"/>
        <w:tblLayout w:type="fixed"/>
        <w:tblCellMar>
          <w:top w:w="28" w:type="dxa"/>
          <w:left w:w="28" w:type="dxa"/>
          <w:bottom w:w="28" w:type="dxa"/>
          <w:right w:w="28" w:type="dxa"/>
        </w:tblCellMar>
      </w:tblPr>
      <w:tblGrid>
        <w:gridCol w:w="666"/>
        <w:gridCol w:w="585"/>
        <w:gridCol w:w="590"/>
        <w:gridCol w:w="376"/>
        <w:gridCol w:w="376"/>
        <w:gridCol w:w="380"/>
        <w:gridCol w:w="147"/>
        <w:gridCol w:w="147"/>
        <w:gridCol w:w="148"/>
        <w:gridCol w:w="109"/>
        <w:gridCol w:w="109"/>
        <w:gridCol w:w="109"/>
        <w:gridCol w:w="303"/>
        <w:gridCol w:w="303"/>
        <w:gridCol w:w="429"/>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300 Park Avenue,</w:t>
            </w:r>
          </w:p>
        </w:tc>
        <w:tc>
          <w:tcPr>
            <w:tcW w:w="1132"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New York,</w:t>
            </w:r>
          </w:p>
        </w:tc>
        <w:tc>
          <w:tcPr>
            <w:tcW w:w="4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NY</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10022</w:t>
            </w:r>
          </w:p>
        </w:tc>
      </w:tr>
      <w:tr>
        <w:trPr/>
        <w:tc>
          <w:tcPr>
            <w:tcW w:w="3415" w:type="dxa"/>
            <w:gridSpan w:val="9"/>
            <w:tcBorders/>
            <w:tcMar>
              <w:top w:w="0" w:type="dxa"/>
              <w:left w:w="0" w:type="dxa"/>
              <w:bottom w:w="0" w:type="dxa"/>
              <w:right w:w="0" w:type="dxa"/>
            </w:tcMar>
            <w:vAlign w:val="center"/>
          </w:tcPr>
          <w:p>
            <w:pPr>
              <w:pStyle w:val="TableContents"/>
              <w:bidi w:val="0"/>
              <w:spacing w:lineRule="auto" w:line="276" w:before="0" w:after="0"/>
              <w:ind w:left="0" w:right="0" w:hanging="2"/>
              <w:jc w:val="center"/>
              <w:rPr>
                <w:color w:val="000000"/>
              </w:rPr>
            </w:pPr>
            <w:r>
              <w:rPr>
                <w:color w:val="000000"/>
              </w:rPr>
              <w:t> </w:t>
            </w: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color w:val="000000"/>
        </w:rPr>
      </w:pPr>
      <w:r>
        <w:rPr>
          <w:color w:val="000000"/>
        </w:rPr>
        <w:t xml:space="preserve">                                   </w:t>
      </w:r>
    </w:p>
    <w:p>
      <w:pPr>
        <w:pStyle w:val="TextBody"/>
        <w:bidi w:val="0"/>
        <w:spacing w:before="0" w:after="0"/>
        <w:ind w:left="0" w:right="0" w:hanging="2"/>
        <w:jc w:val="center"/>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(212) 310-2000</w:t>
      </w:r>
    </w:p>
    <w:p>
      <w:pPr>
        <w:pStyle w:val="TextBody"/>
        <w:bidi w:val="0"/>
        <w:spacing w:before="0" w:after="0"/>
        <w:ind w:left="0" w:right="0" w:hanging="2"/>
        <w:jc w:val="left"/>
        <w:rPr/>
      </w:pPr>
      <w:r>
        <w:rPr/>
      </w:r>
    </w:p>
    <w:p>
      <w:pPr>
        <w:pStyle w:val="TextBody"/>
        <w:bidi w:val="0"/>
        <w:spacing w:before="0" w:after="0"/>
        <w:ind w:left="0" w:right="0" w:hanging="2"/>
        <w:jc w:val="center"/>
        <w:rPr/>
      </w:pPr>
      <w:r>
        <w:rPr/>
      </w:r>
    </w:p>
    <w:p>
      <w:pPr>
        <w:pStyle w:val="TextBody"/>
        <w:bidi w:val="0"/>
        <w:spacing w:lineRule="auto" w:line="276" w:before="0" w:after="0"/>
        <w:ind w:left="0" w:right="0" w:hanging="2"/>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ind w:left="0" w:right="0" w:hanging="2"/>
        <w:jc w:val="left"/>
        <w:rPr/>
      </w:pPr>
      <w:r>
        <w:rPr/>
      </w:r>
    </w:p>
    <w:p>
      <w:pPr>
        <w:pStyle w:val="TextBody"/>
        <w:bidi w:val="0"/>
        <w:spacing w:lineRule="auto" w:line="276" w:before="0" w:after="0"/>
        <w:ind w:left="0" w:right="0" w:hanging="2"/>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hanging="2"/>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6" w:before="0" w:after="0"/>
        <w:ind w:left="0" w:right="0" w:hanging="2"/>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200"/>
        <w:ind w:left="0" w:right="0" w:hanging="2"/>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76" w:before="0" w:after="20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749" w:type="dxa"/>
        <w:jc w:val="left"/>
        <w:tblInd w:w="0" w:type="dxa"/>
        <w:tblLayout w:type="fixed"/>
        <w:tblCellMar>
          <w:top w:w="28" w:type="dxa"/>
          <w:left w:w="28" w:type="dxa"/>
          <w:bottom w:w="28" w:type="dxa"/>
          <w:right w:w="28" w:type="dxa"/>
        </w:tblCellMar>
      </w:tblPr>
      <w:tblGrid>
        <w:gridCol w:w="985"/>
        <w:gridCol w:w="870"/>
        <w:gridCol w:w="875"/>
        <w:gridCol w:w="563"/>
        <w:gridCol w:w="563"/>
        <w:gridCol w:w="568"/>
        <w:gridCol w:w="681"/>
        <w:gridCol w:w="681"/>
        <w:gridCol w:w="963"/>
      </w:tblGrid>
      <w:tr>
        <w:trPr/>
        <w:tc>
          <w:tcPr>
            <w:tcW w:w="98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 xml:space="preserve">Name of each exchange </w:t>
              <w:br/>
              <w:t>on which registered</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0.300% Notes due 2029</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CL29</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1.375% Notes due 2034</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CL34</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3.250% Notes due 2035</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CL35</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0.875% Notes due 2039</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CL39</w:t>
            </w:r>
          </w:p>
        </w:tc>
        <w:tc>
          <w:tcPr>
            <w:tcW w:w="23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60"/>
        <w:ind w:left="0" w:right="0" w:hanging="2"/>
        <w:jc w:val="left"/>
        <w:rPr/>
      </w:pPr>
      <w:r>
        <w:rPr/>
      </w:r>
    </w:p>
    <w:p>
      <w:pPr>
        <w:pStyle w:val="TextBody"/>
        <w:bidi w:val="0"/>
        <w:spacing w:lineRule="auto" w:line="276" w:before="0" w:after="12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76" w:before="0" w:after="120"/>
        <w:ind w:left="0" w:right="0" w:hanging="2"/>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0"/>
        <w:ind w:left="0" w:right="0" w:hanging="2"/>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hanging="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hanging="2"/>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(a)     The Company’s Annual Meeting of Stockholders was held on May 8, 2026. The matters voted on and the results of the vote were as follows. </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(b)    The Company’s stockholders voted on the matters set forth below.</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1.    John P. Bilbrey, Christopher S. Boerner, John T. Cahill, Lisa M. Edwards, C. Martin Harris, Martina Hund-Mejean, Kimberly A. Nelson, Brian O. Newman, Lorrie M. Norrington and Noel Wallace were elected directors of the Company. The results of the vote were as follows:</w:t>
      </w:r>
    </w:p>
    <w:p>
      <w:pPr>
        <w:pStyle w:val="TextBody"/>
        <w:bidi w:val="0"/>
        <w:spacing w:lineRule="auto" w:line="276" w:before="0" w:after="0"/>
        <w:ind w:left="0" w:right="0" w:hanging="2"/>
        <w:jc w:val="left"/>
        <w:rPr>
          <w:color w:val="000000"/>
        </w:rPr>
      </w:pPr>
      <w:r>
        <w:rPr>
          <w:color w:val="000000"/>
        </w:rPr>
        <w:t>                </w:t>
      </w:r>
    </w:p>
    <w:tbl>
      <w:tblPr>
        <w:tblW w:w="7048" w:type="dxa"/>
        <w:jc w:val="left"/>
        <w:tblInd w:w="0" w:type="dxa"/>
        <w:tblLayout w:type="fixed"/>
        <w:tblCellMar>
          <w:top w:w="28" w:type="dxa"/>
          <w:left w:w="28" w:type="dxa"/>
          <w:bottom w:w="28" w:type="dxa"/>
          <w:right w:w="28" w:type="dxa"/>
        </w:tblCellMar>
      </w:tblPr>
      <w:tblGrid>
        <w:gridCol w:w="707"/>
        <w:gridCol w:w="623"/>
        <w:gridCol w:w="635"/>
        <w:gridCol w:w="378"/>
        <w:gridCol w:w="378"/>
        <w:gridCol w:w="383"/>
        <w:gridCol w:w="414"/>
        <w:gridCol w:w="414"/>
        <w:gridCol w:w="417"/>
        <w:gridCol w:w="359"/>
        <w:gridCol w:w="359"/>
        <w:gridCol w:w="361"/>
        <w:gridCol w:w="474"/>
        <w:gridCol w:w="474"/>
        <w:gridCol w:w="672"/>
      </w:tblGrid>
      <w:tr>
        <w:trPr/>
        <w:tc>
          <w:tcPr>
            <w:tcW w:w="70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color w:val="000000"/>
              </w:rPr>
            </w:pPr>
            <w:r>
              <w:rPr>
                <w:color w:val="000000"/>
              </w:rPr>
              <w:t xml:space="preserve">         </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John P. Bilbrey</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609,562,498</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26,889,533</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1,201,378</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Christopher S. Boerner</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630,748,353</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5,728,013</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1,177,043</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John T. Cahill    </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580,860,042</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55,593,274</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1,200,093</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Lisa M. Edwards</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619,731,808</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16,863,927</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1,057,674</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C. Martin Harris</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590,342,138</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45,972,687</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1,338,584</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Martina Hund-Mejean</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619,941,994</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16,738,461</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972,954</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Kimberly A. Nelson</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625,713,274</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10,465,248</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1,474,887</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Brian O. Newman</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619,994,950</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16,558,323</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1,100,136</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Lorrie M. Norrington</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616,023,271</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20,101,409</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1,528,729</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Noel Wallace</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594,674,983</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39,258,389</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3,720,037</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bl>
    <w:p>
      <w:pPr>
        <w:pStyle w:val="TextBody"/>
        <w:bidi w:val="0"/>
        <w:spacing w:before="0" w:after="0"/>
        <w:ind w:left="0" w:right="0" w:hanging="1"/>
        <w:jc w:val="left"/>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2.    The selection of PricewaterhouseCoopers LLP as the Company’s independent registered public accounting firm for the year ending December 31, 2026 was ratified. The results of the vote were as follows:</w:t>
      </w:r>
    </w:p>
    <w:p>
      <w:pPr>
        <w:pStyle w:val="TextBody"/>
        <w:bidi w:val="0"/>
        <w:spacing w:before="0" w:after="0"/>
        <w:ind w:left="0" w:right="0" w:hanging="2"/>
        <w:jc w:val="left"/>
        <w:rPr/>
      </w:pPr>
      <w:r>
        <w:rPr/>
      </w:r>
    </w:p>
    <w:tbl>
      <w:tblPr>
        <w:tblW w:w="5098" w:type="dxa"/>
        <w:jc w:val="left"/>
        <w:tblInd w:w="0" w:type="dxa"/>
        <w:tblLayout w:type="fixed"/>
        <w:tblCellMar>
          <w:top w:w="28" w:type="dxa"/>
          <w:left w:w="28" w:type="dxa"/>
          <w:bottom w:w="28" w:type="dxa"/>
          <w:right w:w="28" w:type="dxa"/>
        </w:tblCellMar>
      </w:tblPr>
      <w:tblGrid>
        <w:gridCol w:w="416"/>
        <w:gridCol w:w="367"/>
        <w:gridCol w:w="371"/>
        <w:gridCol w:w="414"/>
        <w:gridCol w:w="414"/>
        <w:gridCol w:w="417"/>
        <w:gridCol w:w="359"/>
        <w:gridCol w:w="359"/>
        <w:gridCol w:w="361"/>
        <w:gridCol w:w="474"/>
        <w:gridCol w:w="474"/>
        <w:gridCol w:w="672"/>
      </w:tblGrid>
      <w:tr>
        <w:trPr/>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1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647,385,500</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53,015,911</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1,204,733</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ind w:left="0" w:right="0" w:hanging="1"/>
        <w:jc w:val="left"/>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3.    A non-binding advisory vote on the Company’s executive compensation was approved. The results of the vote were as follows:</w:t>
      </w:r>
    </w:p>
    <w:p>
      <w:pPr>
        <w:pStyle w:val="TextBody"/>
        <w:bidi w:val="0"/>
        <w:spacing w:lineRule="auto" w:line="276" w:before="0" w:after="0"/>
        <w:ind w:left="0" w:right="0" w:hanging="2"/>
        <w:jc w:val="left"/>
        <w:rPr>
          <w:color w:val="000000"/>
        </w:rPr>
      </w:pPr>
      <w:r>
        <w:rPr>
          <w:color w:val="000000"/>
        </w:rPr>
        <w:t>        </w:t>
      </w:r>
    </w:p>
    <w:tbl>
      <w:tblPr>
        <w:tblW w:w="5098" w:type="dxa"/>
        <w:jc w:val="left"/>
        <w:tblInd w:w="0" w:type="dxa"/>
        <w:tblLayout w:type="fixed"/>
        <w:tblCellMar>
          <w:top w:w="28" w:type="dxa"/>
          <w:left w:w="28" w:type="dxa"/>
          <w:bottom w:w="28" w:type="dxa"/>
          <w:right w:w="28" w:type="dxa"/>
        </w:tblCellMar>
      </w:tblPr>
      <w:tblGrid>
        <w:gridCol w:w="416"/>
        <w:gridCol w:w="367"/>
        <w:gridCol w:w="371"/>
        <w:gridCol w:w="414"/>
        <w:gridCol w:w="414"/>
        <w:gridCol w:w="417"/>
        <w:gridCol w:w="359"/>
        <w:gridCol w:w="359"/>
        <w:gridCol w:w="361"/>
        <w:gridCol w:w="474"/>
        <w:gridCol w:w="474"/>
        <w:gridCol w:w="672"/>
      </w:tblGrid>
      <w:tr>
        <w:trPr/>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1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591,185,556</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43,039,011</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3,428,842</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bl>
    <w:p>
      <w:pPr>
        <w:pStyle w:val="TextBody"/>
        <w:bidi w:val="0"/>
        <w:spacing w:lineRule="auto" w:line="276" w:before="0" w:after="0"/>
        <w:ind w:left="0" w:right="0" w:hanging="2"/>
        <w:jc w:val="left"/>
        <w:rPr>
          <w:color w:val="000000"/>
        </w:rPr>
      </w:pPr>
      <w:r>
        <w:rPr>
          <w:color w:val="000000"/>
        </w:rPr>
        <w:t>    </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4.    A stockholder proposal entitled “Remove DEI from Board Candidate Considerations” was not approved. The results of the vote were as follows:</w:t>
      </w:r>
    </w:p>
    <w:p>
      <w:pPr>
        <w:pStyle w:val="TextBody"/>
        <w:bidi w:val="0"/>
        <w:spacing w:lineRule="auto" w:line="276" w:before="0" w:after="0"/>
        <w:ind w:left="0" w:right="0" w:hanging="2"/>
        <w:jc w:val="left"/>
        <w:rPr>
          <w:color w:val="000000"/>
        </w:rPr>
      </w:pPr>
      <w:r>
        <w:rPr>
          <w:color w:val="000000"/>
        </w:rPr>
        <w:t>        </w:t>
      </w:r>
    </w:p>
    <w:tbl>
      <w:tblPr>
        <w:tblW w:w="4993" w:type="dxa"/>
        <w:jc w:val="left"/>
        <w:tblInd w:w="0" w:type="dxa"/>
        <w:tblLayout w:type="fixed"/>
        <w:tblCellMar>
          <w:top w:w="28" w:type="dxa"/>
          <w:left w:w="28" w:type="dxa"/>
          <w:bottom w:w="28" w:type="dxa"/>
          <w:right w:w="28" w:type="dxa"/>
        </w:tblCellMar>
      </w:tblPr>
      <w:tblGrid>
        <w:gridCol w:w="379"/>
        <w:gridCol w:w="334"/>
        <w:gridCol w:w="336"/>
        <w:gridCol w:w="414"/>
        <w:gridCol w:w="414"/>
        <w:gridCol w:w="417"/>
        <w:gridCol w:w="359"/>
        <w:gridCol w:w="359"/>
        <w:gridCol w:w="361"/>
        <w:gridCol w:w="474"/>
        <w:gridCol w:w="474"/>
        <w:gridCol w:w="672"/>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04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14,002,273</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618,251,142</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5,399,994</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bl>
    <w:p>
      <w:pPr>
        <w:pStyle w:val="TextBody"/>
        <w:bidi w:val="0"/>
        <w:spacing w:before="0" w:after="0"/>
        <w:ind w:left="0" w:right="0" w:hanging="2"/>
        <w:jc w:val="left"/>
        <w:rPr/>
      </w:pPr>
      <w:r>
        <w:rPr/>
      </w:r>
    </w:p>
    <w:p>
      <w:pPr>
        <w:pStyle w:val="TextBody"/>
        <w:bidi w:val="0"/>
        <w:spacing w:lineRule="auto" w:line="276" w:before="120" w:after="283"/>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5.    A stockholder proposal entitled “Independent Board Chairman” was not approved. The results of the vote were as follows:</w:t>
      </w:r>
    </w:p>
    <w:p>
      <w:pPr>
        <w:pStyle w:val="TextBody"/>
        <w:bidi w:val="0"/>
        <w:spacing w:lineRule="auto" w:line="276" w:before="0" w:after="0"/>
        <w:ind w:left="0" w:right="0" w:hanging="2"/>
        <w:jc w:val="left"/>
        <w:rPr>
          <w:color w:val="000000"/>
        </w:rPr>
      </w:pPr>
      <w:r>
        <w:rPr>
          <w:color w:val="000000"/>
        </w:rPr>
        <w:t>            </w:t>
      </w:r>
    </w:p>
    <w:tbl>
      <w:tblPr>
        <w:tblW w:w="5098" w:type="dxa"/>
        <w:jc w:val="left"/>
        <w:tblInd w:w="0" w:type="dxa"/>
        <w:tblLayout w:type="fixed"/>
        <w:tblCellMar>
          <w:top w:w="28" w:type="dxa"/>
          <w:left w:w="28" w:type="dxa"/>
          <w:bottom w:w="28" w:type="dxa"/>
          <w:right w:w="28" w:type="dxa"/>
        </w:tblCellMar>
      </w:tblPr>
      <w:tblGrid>
        <w:gridCol w:w="416"/>
        <w:gridCol w:w="367"/>
        <w:gridCol w:w="371"/>
        <w:gridCol w:w="414"/>
        <w:gridCol w:w="414"/>
        <w:gridCol w:w="417"/>
        <w:gridCol w:w="359"/>
        <w:gridCol w:w="359"/>
        <w:gridCol w:w="361"/>
        <w:gridCol w:w="474"/>
        <w:gridCol w:w="474"/>
        <w:gridCol w:w="672"/>
      </w:tblGrid>
      <w:tr>
        <w:trPr/>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1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182,439,869</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452,415,385</w:t>
            </w:r>
          </w:p>
        </w:tc>
        <w:tc>
          <w:tcPr>
            <w:tcW w:w="107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2,798,155</w:t>
            </w:r>
          </w:p>
        </w:tc>
        <w:tc>
          <w:tcPr>
            <w:tcW w:w="1620"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63,952,735</w:t>
            </w:r>
          </w:p>
        </w:tc>
      </w:tr>
    </w:tbl>
    <w:p>
      <w:pPr>
        <w:pStyle w:val="TextBody"/>
        <w:bidi w:val="0"/>
        <w:spacing w:before="0" w:after="0"/>
        <w:ind w:left="0" w:right="0" w:firstLine="720"/>
        <w:jc w:val="left"/>
        <w:rPr/>
      </w:pPr>
      <w:r>
        <w:rPr/>
      </w:r>
    </w:p>
    <w:p>
      <w:pPr>
        <w:pStyle w:val="TextBody"/>
        <w:bidi w:val="0"/>
        <w:spacing w:before="0" w:after="0"/>
        <w:ind w:left="0" w:right="0" w:hanging="2"/>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hanging="2"/>
        <w:jc w:val="left"/>
        <w:rPr/>
      </w:pPr>
      <w:r>
        <w:rPr/>
      </w:r>
    </w:p>
    <w:p>
      <w:pPr>
        <w:pStyle w:val="TextBody"/>
        <w:bidi w:val="0"/>
        <w:spacing w:lineRule="auto" w:line="192" w:before="0" w:after="0"/>
        <w:ind w:left="0" w:right="0" w:hanging="2"/>
        <w:jc w:val="left"/>
        <w:rPr/>
      </w:pPr>
      <w:r>
        <w:rPr>
          <w:color w:val="000000"/>
        </w:rPr>
        <w:t xml:space="preserve">                                               </w:t>
      </w:r>
      <w:r>
        <w:rPr>
          <w:rFonts w:ascii="Times New Roman;serif" w:hAnsi="Times New Roman;serif"/>
          <w:b w:val="false"/>
          <w:color w:val="FFFFFF"/>
          <w:sz w:val="20"/>
          <w:shd w:fill="FFFFFF" w:val="clear"/>
        </w:rPr>
        <w:t>&gt;</w:t>
      </w:r>
      <w:r>
        <w:rPr>
          <w:color w:val="000000"/>
        </w:rPr>
        <w:t xml:space="preserve">                 </w:t>
      </w:r>
    </w:p>
    <w:tbl>
      <w:tblPr>
        <w:tblW w:w="5936" w:type="dxa"/>
        <w:jc w:val="left"/>
        <w:tblInd w:w="0" w:type="dxa"/>
        <w:tblLayout w:type="fixed"/>
        <w:tblCellMar>
          <w:top w:w="28" w:type="dxa"/>
          <w:left w:w="28" w:type="dxa"/>
          <w:bottom w:w="28" w:type="dxa"/>
          <w:right w:w="28" w:type="dxa"/>
        </w:tblCellMar>
      </w:tblPr>
      <w:tblGrid>
        <w:gridCol w:w="629"/>
        <w:gridCol w:w="554"/>
        <w:gridCol w:w="557"/>
        <w:gridCol w:w="149"/>
        <w:gridCol w:w="149"/>
        <w:gridCol w:w="151"/>
        <w:gridCol w:w="1124"/>
        <w:gridCol w:w="1124"/>
        <w:gridCol w:w="112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color w:val="000000"/>
                <w:sz w:val="20"/>
              </w:rPr>
            </w:pPr>
            <w:r>
              <w:rPr>
                <w:rFonts w:ascii="Times New Roman;serif" w:hAnsi="Times New Roman;serif"/>
                <w:b/>
                <w:color w:val="000000"/>
                <w:sz w:val="20"/>
              </w:rPr>
              <w:t>COLGATE-PALMOLIVE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7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color w:val="000000"/>
                <w:u w:val="single"/>
              </w:rPr>
            </w:pPr>
            <w:r>
              <w:rPr>
                <w:color w:val="000000"/>
                <w:u w:val="single"/>
              </w:rPr>
              <w:t> </w:t>
            </w:r>
            <w:r>
              <w:rPr>
                <w:rFonts w:ascii="Times New Roman;serif" w:hAnsi="Times New Roman;serif"/>
                <w:b w:val="false"/>
                <w:color w:val="000000"/>
                <w:sz w:val="20"/>
                <w:u w:val="single"/>
              </w:rPr>
              <w:t xml:space="preserve">/s/ Jennifer M. Daniels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 Jennifer M. Daniels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Legal Officer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ind w:left="0" w:right="0" w:hanging="2"/>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hanging="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3959</Characters>
  <CharactersWithSpaces>4736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