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Massey Sally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COLGATE-PALMOLIVE COMPANY</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COLGATE PALMOLIVE CO</w:t>
              </w:r>
            </w:hyperlink>
            <w:r>
              <w:rPr/>
              <w:t xml:space="preserve"> [ </w:t>
            </w:r>
            <w:r>
              <w:rPr>
                <w:rFonts w:ascii="Times;serif" w:hAnsi="Times;serif"/>
                <w:color w:val="0000FF"/>
                <w:sz w:val="24"/>
                <w:shd w:fill="FFFFFF" w:val="clear"/>
              </w:rPr>
              <w:t>CL</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05/07/2026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6"/>
        <w:gridCol w:w="913"/>
        <w:gridCol w:w="782"/>
        <w:gridCol w:w="606"/>
        <w:gridCol w:w="346"/>
        <w:gridCol w:w="835"/>
        <w:gridCol w:w="442"/>
        <w:gridCol w:w="981"/>
        <w:gridCol w:w="1147"/>
        <w:gridCol w:w="988"/>
        <w:gridCol w:w="9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8,599</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87.4093</w:t>
            </w:r>
            <w:r>
              <w:rPr>
                <w:rFonts w:ascii="Times;serif" w:hAnsi="Times;serif"/>
                <w:color w:val="008000"/>
                <w:position w:val="7"/>
                <w:sz w:val="16"/>
                <w:sz w:val="20"/>
                <w:shd w:fill="FFFFFF" w:val="clear"/>
              </w:rPr>
              <w:t>(1)</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13,785</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8,152</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Issuer's 401(k) Plan Trustee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price, as these shares were sold in multiple transactions at prices ranging from $87.36 to $87.53, inclusive. The reporting person undertakes to provide to the issuer, any security holder of the issuer, or the staff of the Securities and Exchange Commission, upon request, additional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Kristine Hutchinson,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5662" TargetMode="External"/><Relationship Id="rId5" Type="http://schemas.openxmlformats.org/officeDocument/2006/relationships/hyperlink" Target="http://www.sec.gov/cgi-bin/browse-edgar?action=getcompany&amp;CIK=00000216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3472</Characters>
  <CharactersWithSpaces>4044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