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WENTZ HOWARD B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COLGATE PALMOLIVE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COLGATE-PALMOLIVE COMPANY</w:t>
            </w: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05/07/2004</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restart"/>
          </w:tcPr>
          <w:p>
            <w:pPr>
              <w:spacing w:after="0"/>
              <w:rPr>
                <w:sz w:val="20"/>
                <w:szCs w:val="20"/>
                <w:color w:val="auto"/>
              </w:rPr>
            </w:pPr>
            <w:r>
              <w:rPr>
                <w:rFonts w:ascii="Arial" w:cs="Arial" w:eastAsia="Arial" w:hAnsi="Arial"/>
                <w:sz w:val="18"/>
                <w:szCs w:val="18"/>
                <w:color w:val="0000FF"/>
                <w:w w:val="93"/>
              </w:rPr>
              <w:t>300 PARK AVENUE</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9"/>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05/07/2004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680" w:type="dxa"/>
            <w:vAlign w:val="bottom"/>
            <w:tcBorders>
              <w:bottom w:val="single" w:sz="8" w:color="2C2C2C"/>
            </w:tcBorders>
            <w:gridSpan w:val="2"/>
          </w:tcPr>
          <w:p>
            <w:pPr>
              <w:ind w:left="440"/>
              <w:spacing w:after="0"/>
              <w:rPr>
                <w:sz w:val="20"/>
                <w:szCs w:val="20"/>
                <w:color w:val="auto"/>
              </w:rPr>
            </w:pPr>
            <w:r>
              <w:rPr>
                <w:rFonts w:ascii="Arial" w:cs="Arial" w:eastAsia="Arial" w:hAnsi="Arial"/>
                <w:sz w:val="18"/>
                <w:szCs w:val="18"/>
                <w:color w:val="0000FF"/>
              </w:rPr>
              <w:t>5</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55.91</w:t>
            </w: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107,040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vMerge w:val="restart"/>
          </w:tcPr>
          <w:p>
            <w:pPr>
              <w:jc w:val="center"/>
              <w:ind w:right="299"/>
              <w:spacing w:after="0"/>
              <w:rPr>
                <w:sz w:val="20"/>
                <w:szCs w:val="20"/>
                <w:color w:val="auto"/>
              </w:rPr>
            </w:pPr>
            <w:r>
              <w:rPr>
                <w:rFonts w:ascii="Arial" w:cs="Arial" w:eastAsia="Arial" w:hAnsi="Arial"/>
                <w:sz w:val="18"/>
                <w:szCs w:val="18"/>
                <w:color w:val="0000FF"/>
              </w:rPr>
              <w:t>1,200</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8"/>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common stock deferred to a stock unit account pursuant to the Deferred Compensation Plan for Non-Employee Directors</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Andrew D. Hendry by power</w:t>
            </w:r>
          </w:p>
        </w:tc>
        <w:tc>
          <w:tcPr>
            <w:tcW w:w="1040" w:type="dxa"/>
            <w:vAlign w:val="bottom"/>
            <w:gridSpan w:val="2"/>
            <w:vMerge w:val="restart"/>
          </w:tcPr>
          <w:p>
            <w:pPr>
              <w:ind w:left="240"/>
              <w:spacing w:after="0"/>
              <w:rPr>
                <w:sz w:val="20"/>
                <w:szCs w:val="20"/>
                <w:color w:val="auto"/>
              </w:rPr>
            </w:pPr>
            <w:r>
              <w:rPr>
                <w:rFonts w:ascii="Arial" w:cs="Arial" w:eastAsia="Arial" w:hAnsi="Arial"/>
                <w:sz w:val="18"/>
                <w:szCs w:val="18"/>
                <w:color w:val="0000FF"/>
                <w:w w:val="86"/>
              </w:rPr>
              <w:t>05/24/2004</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of attorney</w:t>
            </w:r>
          </w:p>
        </w:tc>
        <w:tc>
          <w:tcPr>
            <w:tcW w:w="12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80" w:type="dxa"/>
            <w:vAlign w:val="bottom"/>
            <w:tcBorders>
              <w:bottom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6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264" TargetMode="External"/><Relationship Id="rId13" Type="http://schemas.openxmlformats.org/officeDocument/2006/relationships/hyperlink" Target="http://www.sec.gov/cgi-bin/browse-edgar?action=getcompany&amp;CIK=0000021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2019-12-18T12:59:52Z</dcterms:created>
  <dcterms:modified xsi:type="dcterms:W3CDTF">2019-12-18T12:59:52Z</dcterms:modified>
</cp:coreProperties>
</file>