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CAHILL JOHN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COLGATE-PALMOLIVE COMPANY</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COLGATE PALMOLIVE CO</w:t>
              </w:r>
            </w:hyperlink>
            <w:r>
              <w:rPr/>
              <w:t xml:space="preserve"> [ </w:t>
            </w:r>
            <w:r>
              <w:rPr>
                <w:rFonts w:ascii="Times;serif" w:hAnsi="Times;serif"/>
                <w:color w:val="0000FF"/>
                <w:sz w:val="24"/>
                <w:shd w:fill="FFFFFF" w:val="clear"/>
              </w:rPr>
              <w:t>CL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71.56</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32,543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93.3712</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28,373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36,357</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71.56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4,170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Exercise of stock options awarded under the issuer's incentive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Sale of shares with a portion of the proceeds delivered to the issuer for payment of the exercise price of options under the issuer's incentive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price, as these shares were sold in multiple transactions at prices ranging from $93.3712 to $93.39, inclusive. The reporting person undertakes to provide to the issuer, any security holder of the issuer, or the staff of the Securities and Exchange Commission, upon request, additional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 became exercisable in equal annual installments over three years beginning on the first anniversary of the May 13, 2019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Kristine Hutchinson,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7000" TargetMode="External"/><Relationship Id="rId5" Type="http://schemas.openxmlformats.org/officeDocument/2006/relationships/hyperlink" Target="http://www.sec.gov/cgi-bin/browse-edgar?action=getcompany&amp;CIK=00000216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3925</Characters>
  <CharactersWithSpaces>4555</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