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Tsourapas Panagiotis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COO, CD, EMEA, APac, Skin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43"/>
        <w:gridCol w:w="453"/>
        <w:gridCol w:w="837"/>
        <w:gridCol w:w="1160"/>
        <w:gridCol w:w="99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11,447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4,619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64,901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31,814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31,814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granted under the issuer's incentive compensation plan. The restricted stock unit award vests in equal 1/3 installments on each of the first, second and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 award granted under the issuer's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Option becomes exercisable in one-third increments beginning on the first anniversary of the September 16, 2026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945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3629</Characters>
  <CharactersWithSpaces>4204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