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7" w:lineRule="exact"/>
        <w:rPr>
          <w:sz w:val="24"/>
          <w:szCs w:val="24"/>
          <w:color w:val="auto"/>
        </w:rPr>
      </w:pPr>
    </w:p>
    <w:p>
      <w:pPr>
        <w:ind w:left="3860" w:right="1220" w:hanging="3413"/>
        <w:spacing w:after="0" w:line="352" w:lineRule="auto"/>
        <w:tabs>
          <w:tab w:leader="none" w:pos="17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1780" w:hanging="1313"/>
        <w:spacing w:after="0"/>
        <w:tabs>
          <w:tab w:leader="none" w:pos="17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rFonts w:ascii="MS PGothic" w:cs="MS PGothic" w:eastAsia="MS PGothic" w:hAnsi="MS PGothic"/>
          <w:sz w:val="16"/>
          <w:szCs w:val="16"/>
          <w:color w:val="auto"/>
        </w:rPr>
      </w:pPr>
    </w:p>
    <w:p>
      <w:pPr>
        <w:ind w:left="40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transition period from________ to________ .</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1-644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COLGATE-PALMOLIVE COMPANY</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9"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5140" w:type="dxa"/>
            <w:vAlign w:val="bottom"/>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46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13-1815595</w:t>
            </w:r>
          </w:p>
        </w:tc>
      </w:tr>
      <w:tr>
        <w:trPr>
          <w:trHeight w:val="216"/>
        </w:trPr>
        <w:tc>
          <w:tcPr>
            <w:tcW w:w="514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460" w:type="dxa"/>
            <w:vAlign w:val="bottom"/>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540"/>
        </w:trPr>
        <w:tc>
          <w:tcPr>
            <w:tcW w:w="5140" w:type="dxa"/>
            <w:vAlign w:val="bottom"/>
          </w:tcPr>
          <w:p>
            <w:pPr>
              <w:jc w:val="center"/>
              <w:ind w:right="1519"/>
              <w:spacing w:after="0"/>
              <w:rPr>
                <w:sz w:val="20"/>
                <w:szCs w:val="20"/>
                <w:color w:val="auto"/>
              </w:rPr>
            </w:pPr>
            <w:r>
              <w:rPr>
                <w:rFonts w:ascii="Times New Roman" w:cs="Times New Roman" w:eastAsia="Times New Roman" w:hAnsi="Times New Roman"/>
                <w:sz w:val="16"/>
                <w:szCs w:val="16"/>
                <w:b w:val="1"/>
                <w:bCs w:val="1"/>
                <w:color w:val="auto"/>
              </w:rPr>
              <w:t>300 Park Avenue</w:t>
            </w:r>
          </w:p>
        </w:tc>
        <w:tc>
          <w:tcPr>
            <w:tcW w:w="3460" w:type="dxa"/>
            <w:vAlign w:val="bottom"/>
          </w:tcPr>
          <w:p>
            <w:pPr>
              <w:spacing w:after="0"/>
              <w:rPr>
                <w:sz w:val="24"/>
                <w:szCs w:val="24"/>
                <w:color w:val="auto"/>
              </w:rPr>
            </w:pPr>
          </w:p>
        </w:tc>
      </w:tr>
      <w:tr>
        <w:trPr>
          <w:trHeight w:val="216"/>
        </w:trPr>
        <w:tc>
          <w:tcPr>
            <w:tcW w:w="514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46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10022</w:t>
            </w:r>
          </w:p>
        </w:tc>
      </w:tr>
      <w:tr>
        <w:trPr>
          <w:trHeight w:val="216"/>
        </w:trPr>
        <w:tc>
          <w:tcPr>
            <w:tcW w:w="5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46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310-2000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CHANGES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2"/>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CL</w:t>
            </w:r>
          </w:p>
        </w:tc>
        <w:tc>
          <w:tcPr>
            <w:tcW w:w="10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0.500% Notes due 2026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CL26</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0.300%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CL29</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1.375% Notes due 2034</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CL34</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0.875% Notes due 2039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CL39</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0" w:lineRule="exact"/>
        <w:rPr>
          <w:sz w:val="24"/>
          <w:szCs w:val="24"/>
          <w:color w:val="auto"/>
        </w:rPr>
      </w:pPr>
    </w:p>
    <w:p>
      <w:pPr>
        <w:spacing w:after="0" w:line="265" w:lineRule="exact"/>
        <w:rPr>
          <w:sz w:val="24"/>
          <w:szCs w:val="24"/>
          <w:color w:val="auto"/>
        </w:rPr>
      </w:pPr>
    </w:p>
    <w:p>
      <w:pPr>
        <w:jc w:val="both"/>
        <w:ind w:right="36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8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 w:lineRule="exact"/>
        <w:rPr>
          <w:sz w:val="24"/>
          <w:szCs w:val="24"/>
          <w:color w:val="auto"/>
        </w:rPr>
      </w:pPr>
    </w:p>
    <w:p>
      <w:pPr>
        <w:ind w:right="420" w:firstLine="324"/>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360" w:type="dxa"/>
        <w:tblCellMar>
          <w:top w:w="0" w:type="dxa"/>
          <w:left w:w="0" w:type="dxa"/>
          <w:bottom w:w="0" w:type="dxa"/>
          <w:right w:w="0" w:type="dxa"/>
        </w:tblCellMar>
      </w:tblPr>
      <w:tr>
        <w:trPr>
          <w:trHeight w:val="226"/>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0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Accelerated filer</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0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43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right="26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Outstanding</w:t>
            </w:r>
          </w:p>
        </w:tc>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07"/>
        </w:trPr>
        <w:tc>
          <w:tcPr>
            <w:tcW w:w="340" w:type="dxa"/>
            <w:vAlign w:val="bottom"/>
          </w:tcPr>
          <w:p>
            <w:pPr>
              <w:spacing w:after="0"/>
              <w:rPr>
                <w:sz w:val="17"/>
                <w:szCs w:val="17"/>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100" w:type="dxa"/>
            <w:vAlign w:val="bottom"/>
          </w:tcPr>
          <w:p>
            <w:pPr>
              <w:spacing w:after="0"/>
              <w:rPr>
                <w:sz w:val="17"/>
                <w:szCs w:val="17"/>
                <w:color w:val="auto"/>
              </w:rPr>
            </w:pPr>
          </w:p>
        </w:tc>
        <w:tc>
          <w:tcPr>
            <w:tcW w:w="366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rPr>
              <w:t>817,010,957</w:t>
            </w:r>
          </w:p>
        </w:tc>
        <w:tc>
          <w:tcPr>
            <w:tcW w:w="120" w:type="dxa"/>
            <w:vAlign w:val="bottom"/>
          </w:tcPr>
          <w:p>
            <w:pPr>
              <w:spacing w:after="0"/>
              <w:rPr>
                <w:sz w:val="17"/>
                <w:szCs w:val="17"/>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30, 2024</w:t>
            </w:r>
          </w:p>
        </w:tc>
        <w:tc>
          <w:tcPr>
            <w:tcW w:w="80" w:type="dxa"/>
            <w:vAlign w:val="bottom"/>
          </w:tcPr>
          <w:p>
            <w:pPr>
              <w:spacing w:after="0"/>
              <w:rPr>
                <w:sz w:val="17"/>
                <w:szCs w:val="17"/>
                <w:color w:val="auto"/>
              </w:rPr>
            </w:pPr>
          </w:p>
        </w:tc>
      </w:tr>
      <w:tr>
        <w:trPr>
          <w:trHeight w:val="472"/>
        </w:trPr>
        <w:tc>
          <w:tcPr>
            <w:tcW w:w="3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939"/>
        </w:trPr>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398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COLGATE-PALMOLIVE COMPANY</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4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2"/>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4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(Dollars in Millions Except Per Share Amounts)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64"/>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3"/>
        </w:trPr>
        <w:tc>
          <w:tcPr>
            <w:tcW w:w="6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5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w:t>
            </w:r>
          </w:p>
        </w:tc>
      </w:tr>
      <w:tr>
        <w:trPr>
          <w:trHeight w:val="229"/>
        </w:trPr>
        <w:tc>
          <w:tcPr>
            <w:tcW w:w="5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w:t>
            </w:r>
          </w:p>
        </w:tc>
      </w:tr>
      <w:tr>
        <w:trPr>
          <w:trHeight w:val="223"/>
        </w:trPr>
        <w:tc>
          <w:tcPr>
            <w:tcW w:w="51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r>
      <w:tr>
        <w:trPr>
          <w:trHeight w:val="229"/>
        </w:trPr>
        <w:tc>
          <w:tcPr>
            <w:tcW w:w="5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r>
      <w:tr>
        <w:trPr>
          <w:trHeight w:val="230"/>
        </w:trPr>
        <w:tc>
          <w:tcPr>
            <w:tcW w:w="5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5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Operating profit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29"/>
        </w:trPr>
        <w:tc>
          <w:tcPr>
            <w:tcW w:w="5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5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51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30"/>
        </w:trPr>
        <w:tc>
          <w:tcPr>
            <w:tcW w:w="5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3"/>
        </w:trPr>
        <w:tc>
          <w:tcPr>
            <w:tcW w:w="51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30"/>
        </w:trPr>
        <w:tc>
          <w:tcPr>
            <w:tcW w:w="5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8"/>
        </w:trPr>
        <w:tc>
          <w:tcPr>
            <w:tcW w:w="512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Colgate-Palmolive Company</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0"/>
        </w:trPr>
        <w:tc>
          <w:tcPr>
            <w:tcW w:w="5120" w:type="dxa"/>
            <w:vAlign w:val="bottom"/>
            <w:tcBorders>
              <w:top w:val="single" w:sz="8" w:color="CCEEFF"/>
            </w:tcBorders>
            <w:gridSpan w:val="4"/>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5"/>
        </w:trPr>
        <w:tc>
          <w:tcPr>
            <w:tcW w:w="51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5120" w:type="dxa"/>
            <w:vAlign w:val="bottom"/>
            <w:tcBorders>
              <w:top w:val="single" w:sz="8" w:color="CCEEFF"/>
            </w:tcBorders>
            <w:gridSpan w:val="4"/>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5"/>
        </w:trPr>
        <w:tc>
          <w:tcPr>
            <w:tcW w:w="51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 w:name="page3"/>
    <w:bookmarkEnd w:id="2"/>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19"/>
                <w:szCs w:val="19"/>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30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63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Retirement plans and other retiree benefit adjustments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Gains (losses) on cash flow hedges</w:t>
            </w: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including noncontrolling interests</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29"/>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Cumulative translation adjustments attributable to noncontrolling interests</w:t>
            </w: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noncontrolling interests</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Colgate-Palmolive Company</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78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8"/>
              </w:rPr>
              <w:t>COLGATE-PALMOLIVE COMPANY</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83"/>
        </w:trPr>
        <w:tc>
          <w:tcPr>
            <w:tcW w:w="778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5"/>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color w:val="auto"/>
                <w:w w:val="99"/>
              </w:rPr>
              <w:t>(Dollars in Millions Except Share and Per Share Amounts)</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8"/>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03"/>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440" w:type="dxa"/>
            <w:vAlign w:val="bottom"/>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December 31,</w:t>
            </w:r>
          </w:p>
        </w:tc>
      </w:tr>
      <w:tr>
        <w:trPr>
          <w:trHeight w:val="238"/>
        </w:trPr>
        <w:tc>
          <w:tcPr>
            <w:tcW w:w="7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 of allowances of $88 and $80, respectively)</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2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w:t>
            </w:r>
          </w:p>
        </w:tc>
      </w:tr>
      <w:tr>
        <w:trPr>
          <w:trHeight w:val="230"/>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r>
      <w:tr>
        <w:trPr>
          <w:trHeight w:val="223"/>
        </w:trPr>
        <w:tc>
          <w:tcPr>
            <w:tcW w:w="7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and loans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accruals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2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r>
      <w:tr>
        <w:trPr>
          <w:trHeight w:val="22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$1 par value (2,000,000,000 shares authorized, 1,465,706,360 shares issued)</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25,289</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r>
      <w:tr>
        <w:trPr>
          <w:trHeight w:val="230"/>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Treasury stock, at cost</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(26,017)</w:t>
            </w: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Colgate-Palmolive Company shareholders’ equity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30"/>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23"/>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16,393</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4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8"/>
              </w:rPr>
              <w:t>COLGATE-PALMOLIVE COMPANY</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24"/>
        </w:trPr>
        <w:tc>
          <w:tcPr>
            <w:tcW w:w="784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2"/>
        </w:trPr>
        <w:tc>
          <w:tcPr>
            <w:tcW w:w="7840" w:type="dxa"/>
            <w:vAlign w:val="bottom"/>
          </w:tcPr>
          <w:p>
            <w:pPr>
              <w:jc w:val="center"/>
              <w:ind w:left="3310"/>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8"/>
        </w:trPr>
        <w:tc>
          <w:tcPr>
            <w:tcW w:w="784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8"/>
        </w:trPr>
        <w:tc>
          <w:tcPr>
            <w:tcW w:w="7840" w:type="dxa"/>
            <w:vAlign w:val="bottom"/>
          </w:tcPr>
          <w:p>
            <w:pPr>
              <w:spacing w:after="0"/>
              <w:rPr>
                <w:sz w:val="21"/>
                <w:szCs w:val="21"/>
                <w:color w:val="auto"/>
              </w:rPr>
            </w:pPr>
          </w:p>
        </w:tc>
        <w:tc>
          <w:tcPr>
            <w:tcW w:w="28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00" w:type="dxa"/>
            <w:vAlign w:val="bottom"/>
          </w:tcPr>
          <w:p>
            <w:pPr>
              <w:spacing w:after="0"/>
              <w:rPr>
                <w:sz w:val="21"/>
                <w:szCs w:val="21"/>
                <w:color w:val="auto"/>
              </w:rPr>
            </w:pPr>
          </w:p>
        </w:tc>
      </w:tr>
      <w:tr>
        <w:trPr>
          <w:trHeight w:val="238"/>
        </w:trPr>
        <w:tc>
          <w:tcPr>
            <w:tcW w:w="78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r>
      <w:tr>
        <w:trPr>
          <w:trHeight w:val="223"/>
        </w:trPr>
        <w:tc>
          <w:tcPr>
            <w:tcW w:w="78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19"/>
                <w:szCs w:val="19"/>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176"/>
        </w:trPr>
        <w:tc>
          <w:tcPr>
            <w:tcW w:w="78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including noncontrolling interests to net cash provided by</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3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4"/>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ERISA litigation matter</w:t>
            </w:r>
          </w:p>
        </w:tc>
        <w:tc>
          <w:tcPr>
            <w:tcW w:w="10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termination benefits, net of cash</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effects of changes in:</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Receivables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other accruals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7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 and investments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marketable securities and investments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 (repayment) less than 90 days,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of debt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treasury shares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Colgate-Palmolive Company Shareholders’ Equity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62"/>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9"/>
              </w:rPr>
              <w:t>Income (Loss)</w:t>
            </w:r>
            <w:r>
              <w:rPr>
                <w:rFonts w:ascii="Times New Roman" w:cs="Times New Roman" w:eastAsia="Times New Roman" w:hAnsi="Times New Roman"/>
                <w:sz w:val="18"/>
                <w:szCs w:val="18"/>
                <w:color w:val="auto"/>
                <w:w w:val="99"/>
                <w:vertAlign w:val="superscript"/>
              </w:rPr>
              <w:t>(1)</w:t>
            </w:r>
          </w:p>
        </w:tc>
        <w:tc>
          <w:tcPr>
            <w:tcW w:w="140" w:type="dxa"/>
            <w:vAlign w:val="bottom"/>
          </w:tcPr>
          <w:p>
            <w:pPr>
              <w:spacing w:after="0"/>
              <w:rPr>
                <w:sz w:val="17"/>
                <w:szCs w:val="17"/>
                <w:color w:val="auto"/>
              </w:rPr>
            </w:pPr>
          </w:p>
        </w:tc>
        <w:tc>
          <w:tcPr>
            <w:tcW w:w="11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25,486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w:t>
            </w: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0" w:type="dxa"/>
            <w:vAlign w:val="bottom"/>
          </w:tcPr>
          <w:p>
            <w:pPr>
              <w:spacing w:after="0"/>
              <w:rPr>
                <w:sz w:val="1"/>
                <w:szCs w:val="1"/>
                <w:color w:val="auto"/>
              </w:rPr>
            </w:pPr>
          </w:p>
        </w:tc>
      </w:tr>
      <w:tr>
        <w:trPr>
          <w:trHeight w:val="164"/>
        </w:trPr>
        <w:tc>
          <w:tcPr>
            <w:tcW w:w="29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Other comprehensive income (loss), net of</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55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($0.50 per share)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stock options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for restricted stock units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1,466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4,142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25,814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(4,074)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Colgate-Palmolive Company Shareholders’ Equity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62"/>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9"/>
              </w:rPr>
              <w:t>Income (Loss)</w:t>
            </w:r>
            <w:r>
              <w:rPr>
                <w:rFonts w:ascii="Times New Roman" w:cs="Times New Roman" w:eastAsia="Times New Roman" w:hAnsi="Times New Roman"/>
                <w:sz w:val="18"/>
                <w:szCs w:val="18"/>
                <w:b w:val="1"/>
                <w:bCs w:val="1"/>
                <w:color w:val="auto"/>
                <w:w w:val="99"/>
                <w:vertAlign w:val="superscript"/>
              </w:rPr>
              <w:t>(1)</w:t>
            </w:r>
          </w:p>
        </w:tc>
        <w:tc>
          <w:tcPr>
            <w:tcW w:w="140" w:type="dxa"/>
            <w:vAlign w:val="bottom"/>
          </w:tcPr>
          <w:p>
            <w:pPr>
              <w:spacing w:after="0"/>
              <w:rPr>
                <w:sz w:val="17"/>
                <w:szCs w:val="17"/>
                <w:color w:val="auto"/>
              </w:rPr>
            </w:pPr>
          </w:p>
        </w:tc>
        <w:tc>
          <w:tcPr>
            <w:tcW w:w="11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Other comprehensive income (loss), net of</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($0.48 per share)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stock options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for restricted stock units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0" w:firstLine="8"/>
        <w:spacing w:after="0" w:line="695" w:lineRule="auto"/>
        <w:tabs>
          <w:tab w:leader="none" w:pos="132"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Accumulated other comprehensive income (loss) includes cumulative translation losses of $3,515 at September 30, 2024 ($3,458 at September 30, 2023) and $3,555 at June 30, 2024 ($3,381 at June 30, 2023), respectively, and unrecognized retirement plan and other retiree benefits costs of $615 at September 30, 2024 ($586 at September 30, 2023) and $636 at June 30, 2024 ($618 at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ind w:left="42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Colgate-Palmolive Company Shareholders’ Equity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62"/>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9"/>
              </w:rPr>
              <w:t>Income (Loss)</w:t>
            </w:r>
            <w:r>
              <w:rPr>
                <w:rFonts w:ascii="Times New Roman" w:cs="Times New Roman" w:eastAsia="Times New Roman" w:hAnsi="Times New Roman"/>
                <w:sz w:val="18"/>
                <w:szCs w:val="18"/>
                <w:color w:val="auto"/>
                <w:w w:val="99"/>
                <w:vertAlign w:val="superscript"/>
              </w:rPr>
              <w:t>(1)</w:t>
            </w:r>
          </w:p>
        </w:tc>
        <w:tc>
          <w:tcPr>
            <w:tcW w:w="140" w:type="dxa"/>
            <w:vAlign w:val="bottom"/>
          </w:tcPr>
          <w:p>
            <w:pPr>
              <w:spacing w:after="0"/>
              <w:rPr>
                <w:sz w:val="17"/>
                <w:szCs w:val="17"/>
                <w:color w:val="auto"/>
              </w:rPr>
            </w:pPr>
          </w:p>
        </w:tc>
        <w:tc>
          <w:tcPr>
            <w:tcW w:w="11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348</w:t>
            </w: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0" w:type="dxa"/>
            <w:vAlign w:val="bottom"/>
          </w:tcPr>
          <w:p>
            <w:pPr>
              <w:spacing w:after="0"/>
              <w:rPr>
                <w:sz w:val="1"/>
                <w:szCs w:val="1"/>
                <w:color w:val="auto"/>
              </w:rPr>
            </w:pPr>
          </w:p>
        </w:tc>
      </w:tr>
      <w:tr>
        <w:trPr>
          <w:trHeight w:val="164"/>
        </w:trPr>
        <w:tc>
          <w:tcPr>
            <w:tcW w:w="29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Other comprehensive income (loss), net of</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($1.98 per share)*</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stock options</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for restricted stock units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4,142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25,814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(4,074)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401</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Colgate-Palmolive Company Shareholders’ Equity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62"/>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9"/>
              </w:rPr>
              <w:t>Income (Loss)</w:t>
            </w:r>
            <w:r>
              <w:rPr>
                <w:rFonts w:ascii="Times New Roman" w:cs="Times New Roman" w:eastAsia="Times New Roman" w:hAnsi="Times New Roman"/>
                <w:sz w:val="18"/>
                <w:szCs w:val="18"/>
                <w:b w:val="1"/>
                <w:bCs w:val="1"/>
                <w:color w:val="auto"/>
                <w:w w:val="99"/>
                <w:vertAlign w:val="superscript"/>
              </w:rPr>
              <w:t>(1)</w:t>
            </w:r>
          </w:p>
        </w:tc>
        <w:tc>
          <w:tcPr>
            <w:tcW w:w="140" w:type="dxa"/>
            <w:vAlign w:val="bottom"/>
          </w:tcPr>
          <w:p>
            <w:pPr>
              <w:spacing w:after="0"/>
              <w:rPr>
                <w:sz w:val="17"/>
                <w:szCs w:val="17"/>
                <w:color w:val="auto"/>
              </w:rPr>
            </w:pPr>
          </w:p>
        </w:tc>
        <w:tc>
          <w:tcPr>
            <w:tcW w:w="11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(4,055)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Other comprehensive income (loss), net of</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($1.91 per share)*</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stock options</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for restricted stock units</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3,762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(3,974)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300" w:firstLine="8"/>
        <w:spacing w:after="0" w:line="552" w:lineRule="auto"/>
        <w:tabs>
          <w:tab w:leader="none" w:pos="132"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Accumulated other comprehensive income (loss) includes cumulative translation losses of $3,515 at September 30, 2024 ($3,458 at September 30, 2023) and $3,351 at December 31, 2023 ($3,491 at December 31, 2022), respectively, and unrecognized retirement plan and other retiree benefits costs of $615 at September 30, 2024 ($586 at September 30, 2023) and $647 at December 31, 2023 ($631 at December 31, 2022),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Two dividends were declared in each of the first quarters of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left="312" w:hanging="312"/>
        <w:spacing w:after="0"/>
        <w:tabs>
          <w:tab w:leader="none" w:pos="3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rFonts w:ascii="Times New Roman" w:cs="Times New Roman" w:eastAsia="Times New Roman" w:hAnsi="Times New Roman"/>
          <w:sz w:val="18"/>
          <w:szCs w:val="18"/>
          <w:b w:val="1"/>
          <w:bCs w:val="1"/>
          <w:color w:val="auto"/>
        </w:rPr>
      </w:pPr>
    </w:p>
    <w:p>
      <w:pPr>
        <w:ind w:left="332"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Condensed Consolidated Financial Statements reflect all normal recurring adjustments which, in management’s opinion, are necessary for a fair statement of the results for interim periods. Results of operations for interim periods may not be representative of results to be expected for a full year. Note that certain columns and rows may not sum due to rounding. Colgate-Palmolive Company (together with its subsidiaries, the “Company” or “Colgate”) reclassifies certain prior year amounts, as applicable, to conform to the current year presentation.</w:t>
      </w:r>
    </w:p>
    <w:p>
      <w:pPr>
        <w:spacing w:after="0" w:line="206" w:lineRule="exact"/>
        <w:rPr>
          <w:rFonts w:ascii="Times New Roman" w:cs="Times New Roman" w:eastAsia="Times New Roman" w:hAnsi="Times New Roman"/>
          <w:sz w:val="18"/>
          <w:szCs w:val="18"/>
          <w:b w:val="1"/>
          <w:bCs w:val="1"/>
          <w:color w:val="auto"/>
        </w:rPr>
      </w:pPr>
    </w:p>
    <w:p>
      <w:pPr>
        <w:ind w:left="332"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complete set of financial statement notes, including the Company’s significant accounting policies, refer to the Company’s Annual Report on Form 10-K for the year ended December 31, 2023, filed with the Securities and Exchange Commission (the “SEC”).</w:t>
      </w:r>
    </w:p>
    <w:p>
      <w:pPr>
        <w:spacing w:after="0" w:line="184"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ind w:left="332" w:right="20"/>
        <w:spacing w:after="0" w:line="266" w:lineRule="auto"/>
        <w:rPr>
          <w:sz w:val="20"/>
          <w:szCs w:val="20"/>
          <w:color w:val="auto"/>
        </w:rPr>
      </w:pPr>
      <w:r>
        <w:rPr>
          <w:rFonts w:ascii="Times New Roman" w:cs="Times New Roman" w:eastAsia="Times New Roman" w:hAnsi="Times New Roman"/>
          <w:sz w:val="18"/>
          <w:szCs w:val="18"/>
          <w:color w:val="auto"/>
        </w:rPr>
        <w:t>Provisions for certain expenses, including income taxes, advertising and consumer promotion, are based on full year assumptions and are included in the accompanying Condensed Consolidated Financial Statements in proportion with estimated annual tax rates, the passage of time or estimated annual sales, as applicable.</w:t>
      </w:r>
    </w:p>
    <w:p>
      <w:pPr>
        <w:spacing w:after="0" w:line="199" w:lineRule="exact"/>
        <w:rPr>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and Disclosure Rules</w:t>
      </w:r>
    </w:p>
    <w:p>
      <w:pPr>
        <w:spacing w:after="0" w:line="256" w:lineRule="exact"/>
        <w:rPr>
          <w:rFonts w:ascii="Times New Roman" w:cs="Times New Roman" w:eastAsia="Times New Roman" w:hAnsi="Times New Roman"/>
          <w:sz w:val="18"/>
          <w:szCs w:val="18"/>
          <w:b w:val="1"/>
          <w:bCs w:val="1"/>
          <w:color w:val="auto"/>
        </w:rPr>
      </w:pPr>
    </w:p>
    <w:p>
      <w:pPr>
        <w:ind w:left="332"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2024, the SEC finalized rules intended to enhance and standardize climate-related disclosures in registrants’ registration statements and Annual Reports on Form 10-K. The new rules would require climate-related disclosures, including as they relate to governance, strategy, risk management, targets and goals and greenhouse gas emissions. In addition, the rules would require certain climate-related disclosures as it relates to severe weather events and other natural conditions and carbon offsets and renewable energy credits. In April 2024, the SEC voluntarily stayed the rules due to pending judicial review. As these rules only impact disclosures, they will not have a material impact on the Company’s Consolidated Financial Statements.</w:t>
      </w:r>
    </w:p>
    <w:p>
      <w:pPr>
        <w:spacing w:after="0" w:line="214" w:lineRule="exact"/>
        <w:rPr>
          <w:rFonts w:ascii="Times New Roman" w:cs="Times New Roman" w:eastAsia="Times New Roman" w:hAnsi="Times New Roman"/>
          <w:sz w:val="18"/>
          <w:szCs w:val="18"/>
          <w:b w:val="1"/>
          <w:bCs w:val="1"/>
          <w:color w:val="auto"/>
        </w:rPr>
      </w:pPr>
    </w:p>
    <w:p>
      <w:pPr>
        <w:ind w:left="332"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“Income Taxes (Topic 740): Improvements to Income Tax Disclosures.” This ASU improves the transparency of income tax disclosures by requiring consistent categories and greater disaggregation of information in the rate reconciliation, and income taxes paid disaggregated by jurisdiction. This guidance is effective for the Company for fiscal years beginning after December 15, 2024. As this accounting standard only impacts disclosures, it will not have a material impact on the Company’s Consolidated Financial Statements.</w:t>
      </w:r>
    </w:p>
    <w:p>
      <w:pPr>
        <w:spacing w:after="0" w:line="210" w:lineRule="exact"/>
        <w:rPr>
          <w:rFonts w:ascii="Times New Roman" w:cs="Times New Roman" w:eastAsia="Times New Roman" w:hAnsi="Times New Roman"/>
          <w:sz w:val="18"/>
          <w:szCs w:val="18"/>
          <w:b w:val="1"/>
          <w:bCs w:val="1"/>
          <w:color w:val="auto"/>
        </w:rPr>
      </w:pPr>
    </w:p>
    <w:p>
      <w:pPr>
        <w:ind w:left="332"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FASB issued ASU No. 2023-08, “Intangibles-Goodwill and Other-Crypto Assets (Subtopic 350-60): Accounting for and Disclosure of Crypto Assets.” This ASU improves the accounting for certain crypto assets by requiring companies to measure them at fair value for each reporting period with changes in fair value recognized in net income. This guidance is effective for the Company for fiscal years beginning after December 15, 2024 and is not expected to have an impact on the Company’s Consolidated Financial Statements.</w:t>
      </w:r>
    </w:p>
    <w:p>
      <w:pPr>
        <w:spacing w:after="0" w:line="206" w:lineRule="exact"/>
        <w:rPr>
          <w:rFonts w:ascii="Times New Roman" w:cs="Times New Roman" w:eastAsia="Times New Roman" w:hAnsi="Times New Roman"/>
          <w:sz w:val="18"/>
          <w:szCs w:val="18"/>
          <w:b w:val="1"/>
          <w:bCs w:val="1"/>
          <w:color w:val="auto"/>
        </w:rPr>
      </w:pPr>
    </w:p>
    <w:p>
      <w:pPr>
        <w:ind w:left="33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modified the disclosure and presentation requirements primarily through enhanced disclosures of significant segment expenses and other segment items. This guidance is effective for the Company for fiscal years beginning after December 15, 2023, and interim periods within fiscal years beginning after December 15, 2024. As this accounting standard only impacts disclosures, it will not have a material impact on the Company’s Consolidated Financial Statements.</w:t>
      </w:r>
    </w:p>
    <w:p>
      <w:pPr>
        <w:spacing w:after="0" w:line="210" w:lineRule="exact"/>
        <w:rPr>
          <w:rFonts w:ascii="Times New Roman" w:cs="Times New Roman" w:eastAsia="Times New Roman" w:hAnsi="Times New Roman"/>
          <w:sz w:val="18"/>
          <w:szCs w:val="18"/>
          <w:b w:val="1"/>
          <w:bCs w:val="1"/>
          <w:color w:val="auto"/>
        </w:rPr>
      </w:pPr>
    </w:p>
    <w:p>
      <w:pPr>
        <w:ind w:left="332"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2023, the FASB issued ASU No. 2023-06, “Disclosure Improvements-Codification Amendments in Response to the SEC’s Disclosure Update and Simplification Initiative.” This ASU modified the disclosure and presentation requirements of a variety of codification topics by aligning them with the SEC’s regulations. This guidance is effective for the Company no later than June 30, 2027. As this accounting standard only impacts disclosures, it will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1" w:right="339" w:bottom="1440" w:gutter="0" w:footer="0" w:header="0"/>
        </w:sectPr>
      </w:pPr>
    </w:p>
    <w:bookmarkStart w:id="8" w:name="page9"/>
    <w:bookmarkEnd w:id="8"/>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05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left="332" w:right="260"/>
        <w:spacing w:after="0" w:line="261" w:lineRule="auto"/>
        <w:rPr>
          <w:sz w:val="20"/>
          <w:szCs w:val="20"/>
          <w:color w:val="auto"/>
        </w:rPr>
      </w:pPr>
      <w:r>
        <w:rPr>
          <w:rFonts w:ascii="Times New Roman" w:cs="Times New Roman" w:eastAsia="Times New Roman" w:hAnsi="Times New Roman"/>
          <w:sz w:val="18"/>
          <w:szCs w:val="18"/>
          <w:color w:val="auto"/>
        </w:rPr>
        <w:t>In August 2023, the FASB issued ASU No. 2023-05, “Business Combinations-Joint Venture Formations (Subtopic 805-60): Recognition and Initial Measurement.” This ASU requires a joint venture to initially measure all contributions received upon its formation at fair value. This guidance is applicable to joint ventures with a formation date on or after January 1, 2025 and is not expected to have a material impact on the Company’s Consolidated Financial Statements.</w:t>
      </w:r>
    </w:p>
    <w:p>
      <w:pPr>
        <w:spacing w:after="0" w:line="193" w:lineRule="exact"/>
        <w:rPr>
          <w:sz w:val="20"/>
          <w:szCs w:val="20"/>
          <w:color w:val="auto"/>
        </w:rPr>
      </w:pPr>
    </w:p>
    <w:p>
      <w:pPr>
        <w:jc w:val="both"/>
        <w:ind w:left="332" w:right="300"/>
        <w:spacing w:after="0" w:line="250" w:lineRule="auto"/>
        <w:rPr>
          <w:sz w:val="20"/>
          <w:szCs w:val="20"/>
          <w:color w:val="auto"/>
        </w:rPr>
      </w:pPr>
      <w:r>
        <w:rPr>
          <w:rFonts w:ascii="Times New Roman" w:cs="Times New Roman" w:eastAsia="Times New Roman" w:hAnsi="Times New Roman"/>
          <w:sz w:val="18"/>
          <w:szCs w:val="18"/>
          <w:color w:val="auto"/>
        </w:rPr>
        <w:t>In March 2023, the FASB issued ASU No. 2023-01, “Leases (Topic 842): Common Control Arrangements.” This ASU clarified the accounting for leasehold improvements for leases under common control. The guidance was effective for the Company beginning on January 1, 2024 and did not have a material impact on the Company’s Consolidated Financial Statements.</w:t>
      </w:r>
    </w:p>
    <w:p>
      <w:pPr>
        <w:spacing w:after="0" w:line="204" w:lineRule="exact"/>
        <w:rPr>
          <w:sz w:val="20"/>
          <w:szCs w:val="20"/>
          <w:color w:val="auto"/>
        </w:rPr>
      </w:pPr>
    </w:p>
    <w:p>
      <w:pPr>
        <w:ind w:left="332" w:right="60"/>
        <w:spacing w:after="0" w:line="239" w:lineRule="auto"/>
        <w:rPr>
          <w:sz w:val="20"/>
          <w:szCs w:val="20"/>
          <w:color w:val="auto"/>
        </w:rPr>
      </w:pPr>
      <w:r>
        <w:rPr>
          <w:rFonts w:ascii="Times New Roman" w:cs="Times New Roman" w:eastAsia="Times New Roman" w:hAnsi="Times New Roman"/>
          <w:sz w:val="18"/>
          <w:szCs w:val="18"/>
          <w:color w:val="auto"/>
        </w:rPr>
        <w:t>In September 2022, the FASB issued ASU No. 2022-04, “Liabilities-Supplier Finance Programs (Subtopic 405-50): Disclosure of Supplier Finance Program Obligations.” This ASU requires a buyer that uses supplier finance programs to make annual disclosures about the programs’ key terms, the balance sheet presentation of related amounts, the confirmed amount outstanding at the end of the period and associated roll-forward information. The Company adopted the guidance beginning on January 1, 2023, and with respect to the roll-forward information disclosure, beginning on January 1, 2024. See Note 12, Supplier Finance Program for additional information.</w:t>
      </w:r>
    </w:p>
    <w:p>
      <w:pPr>
        <w:spacing w:after="0" w:line="221" w:lineRule="exact"/>
        <w:rPr>
          <w:sz w:val="20"/>
          <w:szCs w:val="20"/>
          <w:color w:val="auto"/>
        </w:rPr>
      </w:pPr>
    </w:p>
    <w:p>
      <w:pPr>
        <w:ind w:left="312" w:hanging="312"/>
        <w:spacing w:after="0"/>
        <w:tabs>
          <w:tab w:leader="none" w:pos="3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Related Implementation Charges</w:t>
      </w:r>
    </w:p>
    <w:p>
      <w:pPr>
        <w:spacing w:after="0" w:line="215" w:lineRule="exact"/>
        <w:rPr>
          <w:rFonts w:ascii="Times New Roman" w:cs="Times New Roman" w:eastAsia="Times New Roman" w:hAnsi="Times New Roman"/>
          <w:sz w:val="18"/>
          <w:szCs w:val="18"/>
          <w:b w:val="1"/>
          <w:bCs w:val="1"/>
          <w:color w:val="auto"/>
        </w:rPr>
      </w:pPr>
    </w:p>
    <w:p>
      <w:pPr>
        <w:ind w:left="332" w:right="40"/>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27, 2022, the Company’s Board of Directors (the “Board”) approved a targeted productivity program (the “2022 Global Productivity Initiative”). All initiatives under the program have been implemented as of the third quarter of 2024 and the Company expects to incur the remaining charges by the end of 2024. The 2022 Global Productivity Initiative resulted in the reallocation of resources towards the Company’s strategic priorities and faster growth businesses, efficiencies in the Company’s operations and the streamlining of its supply chain to reduce structural costs.</w:t>
      </w:r>
    </w:p>
    <w:p>
      <w:pPr>
        <w:spacing w:after="0" w:line="221" w:lineRule="exact"/>
        <w:rPr>
          <w:rFonts w:ascii="Times New Roman" w:cs="Times New Roman" w:eastAsia="Times New Roman" w:hAnsi="Times New Roman"/>
          <w:sz w:val="18"/>
          <w:szCs w:val="18"/>
          <w:b w:val="1"/>
          <w:bCs w:val="1"/>
          <w:color w:val="auto"/>
        </w:rPr>
      </w:pPr>
    </w:p>
    <w:p>
      <w:pPr>
        <w:ind w:left="332"/>
        <w:spacing w:after="0" w:line="24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pretax charges from the implementation of the 2022 Global Productivity Initiative are expected to be approximately $225 ($180 aftertax), once all the charges are recorded, which is comprised of the following categories: employee-related costs, including severance, pension and other termination benefits (80%); asset-related costs, primarily accelerated depreciation and asset write-downs (5%); and other charges (15%), which include contract termination costs, consisting primarily of implementation-related charges resulting directly from exit activities and the implementation of new strategies. It is expected that approximately 80% of the charges will result in cash expenditures.</w:t>
      </w:r>
    </w:p>
    <w:p>
      <w:pPr>
        <w:spacing w:after="0" w:line="221" w:lineRule="exact"/>
        <w:rPr>
          <w:rFonts w:ascii="Times New Roman" w:cs="Times New Roman" w:eastAsia="Times New Roman" w:hAnsi="Times New Roman"/>
          <w:sz w:val="18"/>
          <w:szCs w:val="18"/>
          <w:b w:val="1"/>
          <w:bCs w:val="1"/>
          <w:color w:val="auto"/>
        </w:rPr>
      </w:pPr>
    </w:p>
    <w:p>
      <w:pPr>
        <w:ind w:left="332"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months ended September 30, 2024, charges resulting from the 2022 Global Productivity Initiative were $15 pretax ($13 aftertax). For the three months ended September 30, 2023, charges resulting from the 2022 Global Productivity Initiative were $2 pretax ($2 aftertax).</w:t>
      </w:r>
    </w:p>
    <w:p>
      <w:pPr>
        <w:spacing w:after="0" w:line="189" w:lineRule="exact"/>
        <w:rPr>
          <w:rFonts w:ascii="Times New Roman" w:cs="Times New Roman" w:eastAsia="Times New Roman" w:hAnsi="Times New Roman"/>
          <w:sz w:val="18"/>
          <w:szCs w:val="18"/>
          <w:b w:val="1"/>
          <w:bCs w:val="1"/>
          <w:color w:val="auto"/>
        </w:rPr>
      </w:pPr>
    </w:p>
    <w:p>
      <w:pPr>
        <w:ind w:left="332"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nine months ended September 30, 2024 and September 30, 2023, charges resulting from the 2022 Global Productivity Initiative are reflected in the income statement as follows:</w:t>
      </w:r>
    </w:p>
    <w:p>
      <w:pPr>
        <w:spacing w:after="0" w:line="212"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7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40" w:type="dxa"/>
            <w:vAlign w:val="bottom"/>
            <w:tcBorders>
              <w:bottom w:val="single" w:sz="8" w:color="auto"/>
            </w:tcBorders>
          </w:tcPr>
          <w:p>
            <w:pPr>
              <w:spacing w:after="0"/>
              <w:rPr>
                <w:sz w:val="20"/>
                <w:szCs w:val="20"/>
                <w:color w:val="auto"/>
              </w:rPr>
            </w:pPr>
          </w:p>
        </w:tc>
      </w:tr>
      <w:tr>
        <w:trPr>
          <w:trHeight w:val="223"/>
        </w:trPr>
        <w:tc>
          <w:tcPr>
            <w:tcW w:w="80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w:t>
            </w:r>
          </w:p>
        </w:tc>
        <w:tc>
          <w:tcPr>
            <w:tcW w:w="20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Total 2022</w:t>
            </w:r>
          </w:p>
        </w:tc>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Productivity Initiative charges, pretax</w:t>
            </w:r>
          </w:p>
        </w:tc>
        <w:tc>
          <w:tcPr>
            <w:tcW w:w="2060" w:type="dxa"/>
            <w:vAlign w:val="bottom"/>
            <w:tcBorders>
              <w:top w:val="single" w:sz="8" w:color="auto"/>
              <w:bottom w:val="single" w:sz="8" w:color="auto"/>
            </w:tcBorders>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auto"/>
            </w:tcBorders>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0" w:type="dxa"/>
            <w:vAlign w:val="bottom"/>
            <w:tcBorders>
              <w:bottom w:val="single" w:sz="8" w:color="CCEEFF"/>
            </w:tcBorders>
          </w:tcPr>
          <w:p>
            <w:pPr>
              <w:spacing w:after="0"/>
              <w:rPr>
                <w:sz w:val="17"/>
                <w:szCs w:val="17"/>
                <w:color w:val="auto"/>
              </w:rPr>
            </w:pPr>
          </w:p>
        </w:tc>
        <w:tc>
          <w:tcPr>
            <w:tcW w:w="434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48"/>
        </w:trPr>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Total 2022</w:t>
            </w: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Productivity Initiative charges, aftertax</w:t>
            </w:r>
          </w:p>
        </w:tc>
        <w:tc>
          <w:tcPr>
            <w:tcW w:w="2060" w:type="dxa"/>
            <w:vAlign w:val="bottom"/>
            <w:tcBorders>
              <w:bottom w:val="single" w:sz="8" w:color="auto"/>
            </w:tcBorders>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32" w:right="40"/>
        <w:spacing w:after="0" w:line="266" w:lineRule="auto"/>
        <w:rPr>
          <w:sz w:val="20"/>
          <w:szCs w:val="20"/>
          <w:color w:val="auto"/>
        </w:rPr>
      </w:pPr>
      <w:r>
        <w:rPr>
          <w:rFonts w:ascii="Times New Roman" w:cs="Times New Roman" w:eastAsia="Times New Roman" w:hAnsi="Times New Roman"/>
          <w:sz w:val="18"/>
          <w:szCs w:val="18"/>
          <w:color w:val="auto"/>
        </w:rPr>
        <w:t>Restructuring and related implementation charges were recorded in the Corporate segment as these initiatives are predominantly centrally directed and controlled and are not included in internal measures of segment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71" w:right="359" w:bottom="1440" w:gutter="0" w:footer="0" w:header="0"/>
        </w:sectPr>
      </w:pPr>
    </w:p>
    <w:bookmarkStart w:id="9" w:name="page10"/>
    <w:bookmarkEnd w:id="9"/>
    <w:p>
      <w:pPr>
        <w:ind w:left="3788"/>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2728"/>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168"/>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Total charges incurred for the 2022 Global Productivity Initiative relate to initiatives undertaken by the following reportable operating segments and</w:t>
      </w:r>
    </w:p>
    <w:p>
      <w:pPr>
        <w:spacing w:after="0" w:line="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Corporate:</w:t>
      </w:r>
    </w:p>
    <w:p>
      <w:pPr>
        <w:spacing w:after="0" w:line="246"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406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Program-to-date</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4060" w:type="dxa"/>
            <w:vAlign w:val="bottom"/>
            <w:gridSpan w:val="4"/>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Accumulated Charges</w:t>
            </w:r>
          </w:p>
        </w:tc>
        <w:tc>
          <w:tcPr>
            <w:tcW w:w="0" w:type="dxa"/>
            <w:vAlign w:val="bottom"/>
          </w:tcPr>
          <w:p>
            <w:pPr>
              <w:spacing w:after="0"/>
              <w:rPr>
                <w:sz w:val="1"/>
                <w:szCs w:val="1"/>
                <w:color w:val="auto"/>
              </w:rPr>
            </w:pPr>
          </w:p>
        </w:tc>
      </w:tr>
      <w:tr>
        <w:trPr>
          <w:trHeight w:val="92"/>
        </w:trPr>
        <w:tc>
          <w:tcPr>
            <w:tcW w:w="320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16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460" w:type="dxa"/>
            <w:vAlign w:val="bottom"/>
            <w:gridSpan w:val="3"/>
          </w:tcPr>
          <w:p>
            <w:pPr>
              <w:jc w:val="right"/>
              <w:ind w:right="17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60" w:type="dxa"/>
            <w:vAlign w:val="bottom"/>
            <w:gridSpan w:val="3"/>
          </w:tcPr>
          <w:p>
            <w:pPr>
              <w:jc w:val="right"/>
              <w:ind w:right="17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Africa/Eurasia</w:t>
            </w:r>
          </w:p>
        </w:tc>
        <w:tc>
          <w:tcPr>
            <w:tcW w:w="2460" w:type="dxa"/>
            <w:vAlign w:val="bottom"/>
            <w:gridSpan w:val="3"/>
            <w:shd w:val="clear" w:color="auto" w:fill="CCEEFF"/>
          </w:tcPr>
          <w:p>
            <w:pPr>
              <w:jc w:val="right"/>
              <w:ind w:right="17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8" w:hanging="8"/>
        <w:spacing w:after="0" w:line="244" w:lineRule="auto"/>
        <w:tabs>
          <w:tab w:leader="none" w:pos="173"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has recast its historical geographic segment information to conform to the reporting structure effective as of July 1, 2024. The results of the skin health business previously reported within the Europe reportable operating segment are reported with the other skin health businesses in the North America reportable operating segment. See Note 10, Segment Information for additional details.</w:t>
      </w:r>
    </w:p>
    <w:p>
      <w:pPr>
        <w:spacing w:after="0" w:line="209" w:lineRule="exact"/>
        <w:rPr>
          <w:sz w:val="20"/>
          <w:szCs w:val="20"/>
          <w:color w:val="auto"/>
        </w:rPr>
      </w:pPr>
    </w:p>
    <w:p>
      <w:pPr>
        <w:ind w:left="8" w:right="640"/>
        <w:spacing w:after="0" w:line="282" w:lineRule="auto"/>
        <w:rPr>
          <w:sz w:val="20"/>
          <w:szCs w:val="20"/>
          <w:color w:val="auto"/>
        </w:rPr>
      </w:pPr>
      <w:r>
        <w:rPr>
          <w:rFonts w:ascii="Times New Roman" w:cs="Times New Roman" w:eastAsia="Times New Roman" w:hAnsi="Times New Roman"/>
          <w:sz w:val="18"/>
          <w:szCs w:val="18"/>
          <w:color w:val="auto"/>
        </w:rPr>
        <w:t>Since the inception of the 2022 Global Productivity Initiative, the Company has incurred cumulative pretax charges of $220 ($178 aftertax) in connection with the implementation of various projects as follows:</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2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Cumulative Charges</w:t>
            </w:r>
          </w:p>
        </w:tc>
      </w:tr>
      <w:tr>
        <w:trPr>
          <w:trHeight w:val="238"/>
        </w:trPr>
        <w:tc>
          <w:tcPr>
            <w:tcW w:w="58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Depreciation</w:t>
            </w:r>
          </w:p>
        </w:tc>
        <w:tc>
          <w:tcPr>
            <w:tcW w:w="76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760" w:type="dxa"/>
            <w:vAlign w:val="bottom"/>
            <w:shd w:val="clear" w:color="auto" w:fill="CCEEFF"/>
          </w:tcPr>
          <w:p>
            <w:pPr>
              <w:spacing w:after="0"/>
              <w:rPr>
                <w:sz w:val="19"/>
                <w:szCs w:val="19"/>
                <w:color w:val="auto"/>
              </w:rPr>
            </w:pP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following table summarizes the activity for the restructuring and related implementation charges discussed above and the related accruals:</w:t>
      </w:r>
    </w:p>
    <w:p>
      <w:pPr>
        <w:spacing w:after="0" w:line="275" w:lineRule="exact"/>
        <w:rPr>
          <w:sz w:val="20"/>
          <w:szCs w:val="20"/>
          <w:color w:val="auto"/>
        </w:rPr>
      </w:pPr>
    </w:p>
    <w:tbl>
      <w:tblPr>
        <w:tblLayout w:type="fixed"/>
        <w:tblInd w:w="8"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Employee-Related</w:t>
            </w:r>
          </w:p>
        </w:tc>
        <w:tc>
          <w:tcPr>
            <w:tcW w:w="160" w:type="dxa"/>
            <w:vAlign w:val="bottom"/>
          </w:tcPr>
          <w:p>
            <w:pPr>
              <w:spacing w:after="0"/>
              <w:rPr>
                <w:sz w:val="15"/>
                <w:szCs w:val="15"/>
                <w:color w:val="auto"/>
              </w:rPr>
            </w:pPr>
          </w:p>
        </w:tc>
        <w:tc>
          <w:tcPr>
            <w:tcW w:w="1360" w:type="dxa"/>
            <w:vAlign w:val="bottom"/>
            <w:gridSpan w:val="2"/>
          </w:tcPr>
          <w:p>
            <w:pPr>
              <w:jc w:val="right"/>
              <w:ind w:right="340"/>
              <w:spacing w:after="0" w:line="174" w:lineRule="exact"/>
              <w:rPr>
                <w:sz w:val="20"/>
                <w:szCs w:val="20"/>
                <w:color w:val="auto"/>
              </w:rPr>
            </w:pPr>
            <w:r>
              <w:rPr>
                <w:rFonts w:ascii="Times New Roman" w:cs="Times New Roman" w:eastAsia="Times New Roman" w:hAnsi="Times New Roman"/>
                <w:sz w:val="18"/>
                <w:szCs w:val="18"/>
                <w:b w:val="1"/>
                <w:bCs w:val="1"/>
                <w:color w:val="auto"/>
              </w:rPr>
              <w:t>Incremental</w:t>
            </w:r>
          </w:p>
        </w:tc>
        <w:tc>
          <w:tcPr>
            <w:tcW w:w="160" w:type="dxa"/>
            <w:vAlign w:val="bottom"/>
          </w:tcPr>
          <w:p>
            <w:pPr>
              <w:spacing w:after="0"/>
              <w:rPr>
                <w:sz w:val="15"/>
                <w:szCs w:val="15"/>
                <w:color w:val="auto"/>
              </w:rPr>
            </w:pPr>
          </w:p>
        </w:tc>
        <w:tc>
          <w:tcPr>
            <w:tcW w:w="1360" w:type="dxa"/>
            <w:vAlign w:val="bottom"/>
            <w:gridSpan w:val="2"/>
          </w:tcPr>
          <w:p>
            <w:pPr>
              <w:ind w:left="340"/>
              <w:spacing w:after="0" w:line="174" w:lineRule="exact"/>
              <w:rPr>
                <w:sz w:val="20"/>
                <w:szCs w:val="20"/>
                <w:color w:val="auto"/>
              </w:rPr>
            </w:pPr>
            <w:r>
              <w:rPr>
                <w:rFonts w:ascii="Times New Roman" w:cs="Times New Roman" w:eastAsia="Times New Roman" w:hAnsi="Times New Roman"/>
                <w:sz w:val="18"/>
                <w:szCs w:val="18"/>
                <w:b w:val="1"/>
                <w:bCs w:val="1"/>
                <w:color w:val="auto"/>
              </w:rPr>
              <w:t>Asset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10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against assets</w:t>
            </w:r>
          </w:p>
        </w:tc>
        <w:tc>
          <w:tcPr>
            <w:tcW w:w="1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 w:right="500"/>
        <w:spacing w:after="0" w:line="261" w:lineRule="auto"/>
        <w:rPr>
          <w:sz w:val="20"/>
          <w:szCs w:val="20"/>
          <w:color w:val="auto"/>
        </w:rPr>
      </w:pPr>
      <w:r>
        <w:rPr>
          <w:rFonts w:ascii="Times New Roman" w:cs="Times New Roman" w:eastAsia="Times New Roman" w:hAnsi="Times New Roman"/>
          <w:sz w:val="18"/>
          <w:szCs w:val="18"/>
          <w:color w:val="auto"/>
        </w:rPr>
        <w:t>Employee-Related Costs primarily include severance and other termination benefits and are calculated based on long-standing benefit practices, written severance policies, local statutory requirements and, in certain cases, voluntary termination arrangements. Employee-Related Costs also include pension enhancements which are reflected as Charges against assets within Employee-Related Costs in the preceding table as the corresponding balance sheet amounts are</w:t>
      </w:r>
    </w:p>
    <w:p>
      <w:pPr>
        <w:spacing w:after="0" w:line="200" w:lineRule="exact"/>
        <w:rPr>
          <w:sz w:val="20"/>
          <w:szCs w:val="20"/>
          <w:color w:val="auto"/>
        </w:rPr>
      </w:pPr>
    </w:p>
    <w:p>
      <w:pPr>
        <w:spacing w:after="0" w:line="358"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71" w:right="379" w:bottom="1440" w:gutter="0" w:footer="0" w:header="0"/>
        </w:sectPr>
      </w:pPr>
    </w:p>
    <w:bookmarkStart w:id="10" w:name="page11"/>
    <w:bookmarkEnd w:id="10"/>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05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left="332" w:right="180"/>
        <w:spacing w:after="0" w:line="282" w:lineRule="auto"/>
        <w:rPr>
          <w:sz w:val="20"/>
          <w:szCs w:val="20"/>
          <w:color w:val="auto"/>
        </w:rPr>
      </w:pPr>
      <w:r>
        <w:rPr>
          <w:rFonts w:ascii="Times New Roman" w:cs="Times New Roman" w:eastAsia="Times New Roman" w:hAnsi="Times New Roman"/>
          <w:sz w:val="18"/>
          <w:szCs w:val="18"/>
          <w:color w:val="auto"/>
        </w:rPr>
        <w:t>reflected as a reduction of pension assets or an increase in pension liabilities. For the nine months ended September 30, 2024, there were no pension enhancements included in Charges against assets within Employee-Related Costs.</w:t>
      </w:r>
    </w:p>
    <w:p>
      <w:pPr>
        <w:spacing w:after="0" w:line="189" w:lineRule="exact"/>
        <w:rPr>
          <w:sz w:val="20"/>
          <w:szCs w:val="20"/>
          <w:color w:val="auto"/>
        </w:rPr>
      </w:pPr>
    </w:p>
    <w:p>
      <w:pPr>
        <w:ind w:left="332"/>
        <w:spacing w:after="0" w:line="261" w:lineRule="auto"/>
        <w:rPr>
          <w:sz w:val="20"/>
          <w:szCs w:val="20"/>
          <w:color w:val="auto"/>
        </w:rPr>
      </w:pPr>
      <w:r>
        <w:rPr>
          <w:rFonts w:ascii="Times New Roman" w:cs="Times New Roman" w:eastAsia="Times New Roman" w:hAnsi="Times New Roman"/>
          <w:sz w:val="18"/>
          <w:szCs w:val="18"/>
          <w:color w:val="auto"/>
        </w:rPr>
        <w:t>Incremental Depreciation is recorded to reflect changes in useful lives and estimated residual values for long-lived assets that will be taken out of service prior to the end of their normal service period. Asset Impairments are recorded to write down inventories and assets held for sale or disposal to their fair value based on amounts expected to be realized. Charges against assets within Asset Impairments are net of cash proceeds pertaining to the sale of certain assets.</w:t>
      </w:r>
    </w:p>
    <w:p>
      <w:pPr>
        <w:spacing w:after="0" w:line="203" w:lineRule="exact"/>
        <w:rPr>
          <w:sz w:val="20"/>
          <w:szCs w:val="20"/>
          <w:color w:val="auto"/>
        </w:rPr>
      </w:pPr>
    </w:p>
    <w:p>
      <w:pPr>
        <w:ind w:left="312" w:hanging="312"/>
        <w:spacing w:after="0"/>
        <w:tabs>
          <w:tab w:leader="none" w:pos="3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by major class were as follows:</w:t>
      </w:r>
    </w:p>
    <w:p>
      <w:pPr>
        <w:spacing w:after="0" w:line="23" w:lineRule="exact"/>
        <w:rPr>
          <w:sz w:val="20"/>
          <w:szCs w:val="20"/>
          <w:color w:val="auto"/>
        </w:rPr>
      </w:pPr>
    </w:p>
    <w:tbl>
      <w:tblPr>
        <w:tblLayout w:type="fixed"/>
        <w:tblInd w:w="332"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3"/>
        </w:trPr>
        <w:tc>
          <w:tcPr>
            <w:tcW w:w="71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inventory, net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Current Inventories,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1"/>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12" w:hanging="312"/>
        <w:spacing w:after="0"/>
        <w:tabs>
          <w:tab w:leader="none" w:pos="31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months ended September 30, 2024 and 2023, earnings per share were as follows:</w:t>
      </w:r>
    </w:p>
    <w:p>
      <w:pPr>
        <w:spacing w:after="0" w:line="275"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Net income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6"/>
                <w:szCs w:val="16"/>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w:t>
            </w:r>
          </w:p>
        </w:tc>
        <w:tc>
          <w:tcPr>
            <w:tcW w:w="160" w:type="dxa"/>
            <w:vAlign w:val="bottom"/>
          </w:tcPr>
          <w:p>
            <w:pPr>
              <w:spacing w:after="0"/>
              <w:rPr>
                <w:sz w:val="16"/>
                <w:szCs w:val="16"/>
                <w:color w:val="auto"/>
              </w:rPr>
            </w:pPr>
          </w:p>
        </w:tc>
        <w:tc>
          <w:tcPr>
            <w:tcW w:w="17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6"/>
                <w:szCs w:val="16"/>
                <w:color w:val="auto"/>
              </w:rPr>
            </w:pP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Colgate-Palmolive</w:t>
            </w: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Colgate-Palmolive</w:t>
            </w: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6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8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48"/>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Stock options and</w:t>
            </w: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32" w:right="18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the average number of stock options and restricted stock units that were anti-dilutive and not included in diluted earnings per share calculations were 315,441 and 13,538,153, respectively.</w:t>
      </w:r>
    </w:p>
    <w:p>
      <w:pPr>
        <w:sectPr>
          <w:pgSz w:w="11900" w:h="16838" w:orient="portrait"/>
          <w:cols w:equalWidth="0" w:num="1">
            <w:col w:w="11152"/>
          </w:cols>
          <w:pgMar w:left="328" w:top="17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71" w:right="419" w:bottom="1440" w:gutter="0" w:footer="0" w:header="0"/>
          <w:type w:val="continuous"/>
        </w:sectPr>
      </w:pPr>
    </w:p>
    <w:bookmarkStart w:id="11" w:name="page12"/>
    <w:bookmarkEnd w:id="11"/>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05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For the nine months ended September 30, 2024 and 2023, earnings per share were as follows:</w:t>
      </w:r>
    </w:p>
    <w:p>
      <w:pPr>
        <w:spacing w:after="0" w:line="316"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Net income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Net income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6"/>
                <w:szCs w:val="16"/>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Per</w:t>
            </w:r>
          </w:p>
        </w:tc>
        <w:tc>
          <w:tcPr>
            <w:tcW w:w="160" w:type="dxa"/>
            <w:vAlign w:val="bottom"/>
          </w:tcPr>
          <w:p>
            <w:pPr>
              <w:spacing w:after="0"/>
              <w:rPr>
                <w:sz w:val="16"/>
                <w:szCs w:val="16"/>
                <w:color w:val="auto"/>
              </w:rPr>
            </w:pPr>
          </w:p>
        </w:tc>
        <w:tc>
          <w:tcPr>
            <w:tcW w:w="17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6"/>
                <w:szCs w:val="16"/>
                <w:color w:val="auto"/>
              </w:rPr>
            </w:pPr>
          </w:p>
        </w:tc>
        <w:tc>
          <w:tcPr>
            <w:tcW w:w="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Colgate-Palmolive</w:t>
            </w: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Colgate-Palmolive</w:t>
            </w: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6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Stock options and</w:t>
            </w: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the average number of stock options and restricted stock units that were anti-dilutive and not included in diluted earnings per share calculations were 113,356 and 13,504,588, respectively.</w:t>
      </w:r>
    </w:p>
    <w:p>
      <w:pPr>
        <w:spacing w:after="0" w:line="135" w:lineRule="exact"/>
        <w:rPr>
          <w:sz w:val="20"/>
          <w:szCs w:val="20"/>
          <w:color w:val="auto"/>
        </w:rPr>
      </w:pPr>
    </w:p>
    <w:p>
      <w:pPr>
        <w:ind w:left="332" w:right="100"/>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are computed independently for each quarter and any year-to-date period presented. As a result of changes in the number of shares outstanding during the year and rounding, the sum of the quarters’ earnings per share may not necessarily equal the earnings per share for any year-to-date period.</w:t>
      </w:r>
    </w:p>
    <w:p>
      <w:pPr>
        <w:spacing w:after="0" w:line="199" w:lineRule="exact"/>
        <w:rPr>
          <w:sz w:val="20"/>
          <w:szCs w:val="20"/>
          <w:color w:val="auto"/>
        </w:rPr>
      </w:pPr>
    </w:p>
    <w:p>
      <w:pPr>
        <w:ind w:left="312" w:hanging="312"/>
        <w:spacing w:after="0"/>
        <w:tabs>
          <w:tab w:leader="none" w:pos="31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256" w:lineRule="exact"/>
        <w:rPr>
          <w:rFonts w:ascii="Times New Roman" w:cs="Times New Roman" w:eastAsia="Times New Roman" w:hAnsi="Times New Roman"/>
          <w:sz w:val="18"/>
          <w:szCs w:val="18"/>
          <w:b w:val="1"/>
          <w:bCs w:val="1"/>
          <w:color w:val="auto"/>
        </w:rPr>
      </w:pPr>
    </w:p>
    <w:p>
      <w:pPr>
        <w:ind w:left="332"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and reclassifications out of Accumulated other comprehensive income (loss) attributable to the Company for the three and nine months ended September 30, 2024 and 2023 were as follows:</w:t>
      </w:r>
    </w:p>
    <w:p>
      <w:pPr>
        <w:spacing w:after="0" w:line="202" w:lineRule="exact"/>
        <w:rPr>
          <w:sz w:val="20"/>
          <w:szCs w:val="20"/>
          <w:color w:val="auto"/>
        </w:rPr>
      </w:pPr>
    </w:p>
    <w:tbl>
      <w:tblPr>
        <w:tblLayout w:type="fixed"/>
        <w:tblInd w:w="332" w:type="dxa"/>
        <w:tblCellMar>
          <w:top w:w="0" w:type="dxa"/>
          <w:left w:w="0" w:type="dxa"/>
          <w:bottom w:w="0" w:type="dxa"/>
          <w:right w:w="0" w:type="dxa"/>
        </w:tblCellMar>
      </w:tblPr>
      <w:tr>
        <w:trPr>
          <w:trHeight w:val="207"/>
        </w:trPr>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8"/>
                <w:szCs w:val="18"/>
                <w:color w:val="auto"/>
              </w:rPr>
            </w:pPr>
          </w:p>
        </w:tc>
        <w:tc>
          <w:tcPr>
            <w:tcW w:w="19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9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6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translation adjustments, pre-tax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amounts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 net of tax</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Pension and other benefits: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actuarial gains (losses), prior service costs and settlements during the period</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2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Amortization of net actuarial losses (gains), transition and prior service costs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Plan and other retiree benefit adjustments, pre-tax</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amounts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Retirement Plan and other retiree benefit adjustments, net of tax</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on cash flow hedges, pre-tax</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amounts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Gains (losses) on cash flow hedges, net of tax</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92" w:right="220" w:hanging="168"/>
        <w:spacing w:after="0" w:line="242" w:lineRule="auto"/>
        <w:tabs>
          <w:tab w:leader="none" w:pos="495"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These components of Other comprehensive income (loss) are included in the computation of total pension cost. See Note 8, Retirement Plans and Other Retiree Benefits for additional details.</w:t>
      </w:r>
    </w:p>
    <w:p>
      <w:pPr>
        <w:spacing w:after="0" w:line="22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There were no tax impacts on Other comprehensive income (loss) (“OCI”) attributable to Noncontrolling interests.</w:t>
      </w:r>
    </w:p>
    <w:p>
      <w:pPr>
        <w:sectPr>
          <w:pgSz w:w="11900" w:h="16838" w:orient="portrait"/>
          <w:cols w:equalWidth="0" w:num="1">
            <w:col w:w="11192"/>
          </w:cols>
          <w:pgMar w:left="328" w:top="17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71" w:right="379" w:bottom="1440" w:gutter="0" w:footer="0" w:header="0"/>
          <w:type w:val="continuous"/>
        </w:sectPr>
      </w:pPr>
    </w:p>
    <w:bookmarkStart w:id="12" w:name="page13"/>
    <w:bookmarkEnd w:id="12"/>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05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left="312" w:hanging="312"/>
        <w:spacing w:after="0"/>
        <w:tabs>
          <w:tab w:leader="none" w:pos="31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 and Other Retiree Benefits</w:t>
      </w:r>
    </w:p>
    <w:p>
      <w:pPr>
        <w:spacing w:after="0" w:line="25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Net periodic benefit cost for the three and nine months ended September 30, 2024 and 2023 were as follows:</w:t>
      </w:r>
    </w:p>
    <w:p>
      <w:pPr>
        <w:spacing w:after="0" w:line="154"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9"/>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 Retiree Benefits</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8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postretirement charges</w:t>
            </w: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bottom w:val="single" w:sz="8" w:color="CCEEFF"/>
            </w:tcBorders>
            <w:vMerge w:val="continue"/>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pension cost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5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 Retiree Benefits</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8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postretirement charges</w:t>
            </w: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tcBorders>
            <w:vMerge w:val="continue"/>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7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pension cost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Other postretirement charges for the three and nine months ended September 30, 2024 included pension and other charges amounting to $5. Other postretirement charges for the three and nine months ended September 30, 2023 included pension and other charges of $0 and $4, respectively, incurred pursuant to the 2022 Global Productivity Initiative.</w:t>
      </w:r>
    </w:p>
    <w:p>
      <w:pPr>
        <w:spacing w:after="0" w:line="189" w:lineRule="exact"/>
        <w:rPr>
          <w:sz w:val="20"/>
          <w:szCs w:val="20"/>
          <w:color w:val="auto"/>
        </w:rPr>
      </w:pPr>
    </w:p>
    <w:p>
      <w:pPr>
        <w:ind w:left="332" w:right="80"/>
        <w:spacing w:after="0"/>
        <w:rPr>
          <w:sz w:val="20"/>
          <w:szCs w:val="20"/>
          <w:color w:val="auto"/>
        </w:rPr>
      </w:pPr>
      <w:r>
        <w:rPr>
          <w:rFonts w:ascii="Times New Roman" w:cs="Times New Roman" w:eastAsia="Times New Roman" w:hAnsi="Times New Roman"/>
          <w:sz w:val="18"/>
          <w:szCs w:val="18"/>
          <w:color w:val="auto"/>
        </w:rPr>
        <w:t>In the first quarter of 2023, the Company recorded a charge of $267 as a result of a decision of the United States Court of Appeals for the Second Circuit (the “Second Circuit”) affirming a grant of summary judgment to the plaintiffs in a lawsuit under the Employee Retirement Income Security Act (“ERISA”) seeking the recalculation of benefits and other relief associated with a 2005 residual annuity amendment to the Colgate-Palmolive Company Employees’ Retirement Income Plan (the “Retirement Plan”). The decision resulted in an increase in the obligations of the Retirement Plan, which based on the current funded status of the Retirement Plan and depending on the asset performance, impact of interest rates for the remainder of the year and further developments in the litigation, may require a cash contribution by the Company in 2025. See Note 9, Contingencies for additional information.</w:t>
      </w: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 made no voluntary contributions to its U.S. postretirement plans.</w:t>
      </w:r>
    </w:p>
    <w:p>
      <w:pPr>
        <w:sectPr>
          <w:pgSz w:w="11900" w:h="16838" w:orient="portrait"/>
          <w:cols w:equalWidth="0" w:num="1">
            <w:col w:w="11232"/>
          </w:cols>
          <w:pgMar w:left="328"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1" w:right="339" w:bottom="1440" w:gutter="0" w:footer="0" w:header="0"/>
          <w:type w:val="continuous"/>
        </w:sectPr>
      </w:pPr>
    </w:p>
    <w:bookmarkStart w:id="13" w:name="page14"/>
    <w:bookmarkEnd w:id="13"/>
    <w:p>
      <w:pPr>
        <w:ind w:left="4112"/>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05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492"/>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left="312" w:hanging="312"/>
        <w:spacing w:after="0"/>
        <w:tabs>
          <w:tab w:leader="none" w:pos="31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56" w:lineRule="exact"/>
        <w:rPr>
          <w:rFonts w:ascii="Times New Roman" w:cs="Times New Roman" w:eastAsia="Times New Roman" w:hAnsi="Times New Roman"/>
          <w:sz w:val="18"/>
          <w:szCs w:val="18"/>
          <w:b w:val="1"/>
          <w:bCs w:val="1"/>
          <w:color w:val="auto"/>
        </w:rPr>
      </w:pPr>
    </w:p>
    <w:p>
      <w:pPr>
        <w:ind w:left="332" w:right="140"/>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global company serving consumers in more than 200 countries and territories, the Company is routinely subject to a wide variety of legal proceedings. These include disputes relating to intellectual property, contracts, product liability, marketing, advertising, foreign exchange controls, antitrust and trade regulation, as well as labor and employment, pension, data privacy and security, environmental and tax matters and consumer class actions. In addition, management proactively reviews and monitors the Company’s exposure to, and the impact of, environmental matters. The Company is party to various environmental matters and, as such, may be responsible for all or a portion of the cleanup, restoration and post-closure monitoring of several sites.</w:t>
      </w:r>
    </w:p>
    <w:p>
      <w:pPr>
        <w:spacing w:after="0" w:line="206" w:lineRule="exact"/>
        <w:rPr>
          <w:rFonts w:ascii="Times New Roman" w:cs="Times New Roman" w:eastAsia="Times New Roman" w:hAnsi="Times New Roman"/>
          <w:sz w:val="18"/>
          <w:szCs w:val="18"/>
          <w:b w:val="1"/>
          <w:bCs w:val="1"/>
          <w:color w:val="auto"/>
        </w:rPr>
      </w:pPr>
    </w:p>
    <w:p>
      <w:pPr>
        <w:ind w:left="332"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establishes accruals for loss contingencies when it has determined that a loss is probable and that the amount of loss, or range of loss, can be reasonably estimated. Any such accruals are adjusted thereafter as appropriate to reflect changes in circumstances.</w:t>
      </w:r>
    </w:p>
    <w:p>
      <w:pPr>
        <w:spacing w:after="0" w:line="202" w:lineRule="exact"/>
        <w:rPr>
          <w:rFonts w:ascii="Times New Roman" w:cs="Times New Roman" w:eastAsia="Times New Roman" w:hAnsi="Times New Roman"/>
          <w:sz w:val="18"/>
          <w:szCs w:val="18"/>
          <w:b w:val="1"/>
          <w:bCs w:val="1"/>
          <w:color w:val="auto"/>
        </w:rPr>
      </w:pPr>
    </w:p>
    <w:p>
      <w:pPr>
        <w:ind w:left="332"/>
        <w:spacing w:after="0" w:line="24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determines estimates of reasonably possible losses or ranges of reasonably possible losses in excess of related accrued liabilities, if any, when it has determined that a loss is reasonably possible and it is able to determine such estimates. For those matters disclosed below for which the amount of any potential losses can be reasonably estimated, the Company currently estimates that the aggregate range of reasonably possible losses in excess of any accrued liabilities is $0 to approximately $275 (based on current exchange rates).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range may not represent the ultimate loss to the Company. Thus, the Company’s exposure and ultimate losses may be higher or lower, and possibly significantly so, than the amounts accrued or the range disclosed above.</w:t>
      </w:r>
    </w:p>
    <w:p>
      <w:pPr>
        <w:spacing w:after="0" w:line="213" w:lineRule="exact"/>
        <w:rPr>
          <w:rFonts w:ascii="Times New Roman" w:cs="Times New Roman" w:eastAsia="Times New Roman" w:hAnsi="Times New Roman"/>
          <w:sz w:val="18"/>
          <w:szCs w:val="18"/>
          <w:b w:val="1"/>
          <w:bCs w:val="1"/>
          <w:color w:val="auto"/>
        </w:rPr>
      </w:pPr>
    </w:p>
    <w:p>
      <w:pPr>
        <w:jc w:val="both"/>
        <w:ind w:left="332" w:right="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current knowledge, management does not believe that the ultimate resolution of loss contingencies arising from the matters discussed herein will have a material effect on the Company’s consolidated financial position or its ongoing results of operations or cash flows. However, in light of the inherent uncertainties noted above, an adverse outcome in one or more matters could be material to the Company’s results of operations or cash flows for any particular quarter or year.</w:t>
      </w:r>
    </w:p>
    <w:p>
      <w:pPr>
        <w:spacing w:after="0" w:line="213"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Brazilian Matters</w:t>
      </w:r>
    </w:p>
    <w:p>
      <w:pPr>
        <w:spacing w:after="0" w:line="256" w:lineRule="exact"/>
        <w:rPr>
          <w:rFonts w:ascii="Times New Roman" w:cs="Times New Roman" w:eastAsia="Times New Roman" w:hAnsi="Times New Roman"/>
          <w:sz w:val="18"/>
          <w:szCs w:val="18"/>
          <w:b w:val="1"/>
          <w:bCs w:val="1"/>
          <w:color w:val="auto"/>
        </w:rPr>
      </w:pPr>
    </w:p>
    <w:p>
      <w:pPr>
        <w:ind w:left="332"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certain tax and civil proceedings outstanding, as described below, related to the Company’s 1995 acquisition of the Kolynos oral care business from Wyeth (the “Seller”).</w:t>
      </w:r>
    </w:p>
    <w:p>
      <w:pPr>
        <w:spacing w:after="0" w:line="188" w:lineRule="exact"/>
        <w:rPr>
          <w:rFonts w:ascii="Times New Roman" w:cs="Times New Roman" w:eastAsia="Times New Roman" w:hAnsi="Times New Roman"/>
          <w:sz w:val="18"/>
          <w:szCs w:val="18"/>
          <w:b w:val="1"/>
          <w:bCs w:val="1"/>
          <w:color w:val="auto"/>
        </w:rPr>
      </w:pPr>
    </w:p>
    <w:p>
      <w:pPr>
        <w:ind w:left="332" w:right="40"/>
        <w:spacing w:after="0" w:line="2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Brazilian internal revenue authority has disallowed interest deductions and foreign exchange losses taken by the Company’s Brazilian subsidiary for certain years in connection with the financing of the Kolynos acquisition. The tax assessments with interest, penalties and any court-mandated fees, at the current exchange rate, are approximately $105. This amount includes additional assessments received from the Brazilian internal revenue authority in April 2016 relating to net operating loss carryforwards used by the Company’s Brazilian subsidiary to offset taxable income that had also been deducted from the authority’s original assessments. The Company has been disputing the disallowances by appealing the assessments since October 2001.</w:t>
      </w:r>
    </w:p>
    <w:p>
      <w:pPr>
        <w:spacing w:after="0" w:line="222" w:lineRule="exact"/>
        <w:rPr>
          <w:rFonts w:ascii="Times New Roman" w:cs="Times New Roman" w:eastAsia="Times New Roman" w:hAnsi="Times New Roman"/>
          <w:sz w:val="18"/>
          <w:szCs w:val="18"/>
          <w:b w:val="1"/>
          <w:bCs w:val="1"/>
          <w:color w:val="auto"/>
        </w:rPr>
      </w:pPr>
    </w:p>
    <w:p>
      <w:pPr>
        <w:ind w:left="332" w:right="40"/>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each of September 2015, February 2017, September 2018, April 2019 and August 2020, the Company lost an administrative appeal and subsequently challenged these assessments in the Brazilian federal courts. Currently, there are three lawsuits pending in the Lower Federal Court and two cases have progressed to the Federal Court of Appeals. Although there can be no assurances, management believes, based on the opinion of its Brazilian legal counsel, that the disallowances are without merit and that the Company should ultimately prevail. The Company is challenging these disallowances vigorously. In November 2023, based upon changes in Brazilian tax law, the Company filed petitions in three of the actions requesting that the penalty portion of the claim be removed. The Brazilian tax authority agreed with the Company's position and in August 2024 reduced its claim in two of those actions and in October 2024 reduced its claim in the third.</w:t>
      </w:r>
    </w:p>
    <w:p>
      <w:pPr>
        <w:spacing w:after="0" w:line="181" w:lineRule="exact"/>
        <w:rPr>
          <w:rFonts w:ascii="Times New Roman" w:cs="Times New Roman" w:eastAsia="Times New Roman" w:hAnsi="Times New Roman"/>
          <w:sz w:val="18"/>
          <w:szCs w:val="18"/>
          <w:b w:val="1"/>
          <w:bCs w:val="1"/>
          <w:color w:val="auto"/>
        </w:rPr>
      </w:pPr>
    </w:p>
    <w:p>
      <w:pPr>
        <w:ind w:left="332" w:right="1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2002, the Brazilian Federal Public Attorney filed a civil action against the federal government of Brazil, Laboratorios Wyeth-Whitehall Ltda. (the Brazilian subsidiary of the Seller) and the Company, as represented by its Brazilian subsidiary, in the 6th. Lower Federal Court in the City of São Paulo, seeking to annul an April 2000 decision by the Brazilian Board of Tax Appeals that found in favor of the Seller’s Brazilian subsidiary on the issue of whether it had</w:t>
      </w:r>
    </w:p>
    <w:p>
      <w:pPr>
        <w:spacing w:after="0" w:line="200" w:lineRule="exact"/>
        <w:rPr>
          <w:sz w:val="20"/>
          <w:szCs w:val="20"/>
          <w:color w:val="auto"/>
        </w:rPr>
      </w:pPr>
    </w:p>
    <w:p>
      <w:pPr>
        <w:spacing w:after="0" w:line="3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1" w:right="339" w:bottom="1440" w:gutter="0" w:footer="0" w:header="0"/>
        </w:sectPr>
      </w:pPr>
    </w:p>
    <w:bookmarkStart w:id="14" w:name="page15"/>
    <w:bookmarkEnd w:id="14"/>
    <w:p>
      <w:pPr>
        <w:ind w:left="37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incurred taxable capital gains as a result of the divestiture of Kolynos. The action seeks to make the Company’s Brazilian subsidiary jointly and severally liable for any tax due from the Seller’s Brazilian subsidiary. The case has been pending since 2002, and the Lower Federal Court has not issued a decision. Although there can be no assurances, management believes, based on the opinion of its Brazilian legal counsel, that the Company should ultimately prevail in this action. The Company is challenging this action vigorously.</w:t>
      </w:r>
    </w:p>
    <w:p>
      <w:pPr>
        <w:spacing w:after="0" w:line="20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In December 2005, the Brazilian internal revenue authority issued to the Company’s Brazilian subsidiary a tax assessment with interest, penalties and any court-mandated fees of approximately $53, at the current exchange rate, based on a claim that certain purchases of U.S. Treasury bills by the subsidiary and their subsequent disposition during the period 2000 to 2001 were subject to a tax on foreign exchange transactions. The Company had been disputing the assessment within the internal revenue authority’s administrative appeals process. However, in November 2015, the Superior Chamber of Administrative Tax Appeals denied the Company’s final administrative appeal, and the Company has filed a lawsuit in the Brazilian federal court. In the event the Company is unsuccessful in this lawsuit, further appeals are available within the Brazilian federal courts. Although there can be no assurances, management believes, based on the opinion of its Brazilian legal counsel, that the tax assessment is without merit and that the Company should ultimately prevail. The Company is challenging this assessment vigorously. In addition, in April 2024, based upon changes in Brazilian tax law, the Company filed a petition in this matter requesting that the penalty portion of the claim be removed. The Brazilian tax authority has not yet responded to that petition.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 Matter</w:t>
      </w:r>
    </w:p>
    <w:p>
      <w:pPr>
        <w:spacing w:after="0" w:line="256"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Certain of the Company’s subsidiaries were historically subject to actions and, in some cases, fines, by governmental authorities in a number of countries related to alleged competition law violations. Substantially all of these matters also involved other consumer goods companies and/or retail customers. The Company’s policy is to comply with antitrust and competition laws and, if a violation of any such laws is found, to take appropriate remedial action and to cooperate fully with any related governmental inquiry. The status as of September 30, 2024 of such competition law matters pending against the Company during the nine months ended September 30, 2024 is set forth below.</w:t>
      </w:r>
    </w:p>
    <w:p>
      <w:pPr>
        <w:spacing w:after="0" w:line="208" w:lineRule="exact"/>
        <w:rPr>
          <w:sz w:val="20"/>
          <w:szCs w:val="20"/>
          <w:color w:val="auto"/>
        </w:rPr>
      </w:pPr>
    </w:p>
    <w:p>
      <w:pPr>
        <w:ind w:left="640" w:right="140" w:hanging="324"/>
        <w:spacing w:after="0" w:line="248" w:lineRule="auto"/>
        <w:tabs>
          <w:tab w:leader="none" w:pos="643"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In July 2014, the Greek competition law authority issued a statement of objections alleging a restriction of parallel imports into Greece. The Company responded to this statement of objections. In July 2017, the Company received the decision from the Greek competition law authority in which the Company was fined $11. The Company appealed the decision to the Greek courts. In April 2019, the Greek courts affirmed the judgment against the Company’s Greek subsidiary, but reduced the fine to $10.5 and dismissed the case against Colgate-Palmolive Company. The Company’s Greek subsidiary and the Greek competition authority appealed the decision to the Greek Supreme Court.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Talcum Powder Matters</w:t>
      </w:r>
    </w:p>
    <w:p>
      <w:pPr>
        <w:spacing w:after="0" w:line="256"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The Company has been named as a defendant in civil actions alleging that certain of its talcum powder products were contaminated with asbestos and/or caused mesothelioma and other cancers. Many of these actions involve a number of co-defendants from a variety of different industries, including suppliers of asbestos and manufacturers of products that, unlike the Company’s products, were designed to contain asbestos.</w:t>
      </w:r>
    </w:p>
    <w:p>
      <w:pPr>
        <w:spacing w:after="0" w:line="2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As of September 30, 2024, there were 313 individual cases pending against the Company in state and federal courts throughout the United States, as compared to 293 cases as of June 30, 2024 and 279 cases as of December 31, 2023. During the three months ended September 30, 2024, 39 new cases were filed, 18 cases were resolved by voluntary dismissal or settlement and one case was removed from the case count when it was established that the claim does not relate to talcum powder. During the nine months ended September 30, 2024, 105 new cases were filed and 70 cases were resolved by voluntary dismissal, settlement or dismissal by the court, and one case was removed from the case count as described in the previous sentence. The value of the settlements in the periods presented was not material, either individually or in the aggregate, to such periods’ results of operations. During the three months ended March 31, 2024, one case resulted in a jury verdict in favor of the Company after a trial. Subsequently, the trial court granted plaintiffs’ motion for a new trial in that case. However, during the three months ended September 30, 2024, an appellate court granted the Company’s request to reinstate the jury’s verdict in favor of the Company. Plaintiffs are challenging the ruling of the appellate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60" w:top="171" w:right="379" w:bottom="1440" w:gutter="0" w:footer="0" w:header="0"/>
        </w:sectPr>
      </w:pPr>
    </w:p>
    <w:bookmarkStart w:id="15" w:name="page16"/>
    <w:bookmarkEnd w:id="15"/>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Company’s costs incurred in defending and resolving these claims has been, and the Company believes that a portion of the costs will continue to be, covered by insurance policies issued by several primary, excess and umbrella insurance carriers, subject to deductibles, exclusions, retentions, policy limits and insurance carrier insolvencies.</w:t>
      </w:r>
    </w:p>
    <w:p>
      <w:pPr>
        <w:spacing w:after="0" w:line="196"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While the Company and its legal counsel believe that these cases are without merit and intend to challenge them vigorously, there can be no assurances regarding the ultimate resolution of these matters.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ERISA Matter</w:t>
      </w:r>
    </w:p>
    <w:p>
      <w:pPr>
        <w:spacing w:after="0" w:line="243" w:lineRule="exact"/>
        <w:rPr>
          <w:sz w:val="20"/>
          <w:szCs w:val="20"/>
          <w:color w:val="auto"/>
        </w:rPr>
      </w:pPr>
    </w:p>
    <w:p>
      <w:pPr>
        <w:ind w:left="340" w:right="20"/>
        <w:spacing w:after="0" w:line="237" w:lineRule="auto"/>
        <w:rPr>
          <w:sz w:val="20"/>
          <w:szCs w:val="20"/>
          <w:color w:val="auto"/>
        </w:rPr>
      </w:pPr>
      <w:r>
        <w:rPr>
          <w:rFonts w:ascii="Times New Roman" w:cs="Times New Roman" w:eastAsia="Times New Roman" w:hAnsi="Times New Roman"/>
          <w:sz w:val="18"/>
          <w:szCs w:val="18"/>
          <w:color w:val="auto"/>
        </w:rPr>
        <w:t>In June 2016, a lawsuit was filed in the United States District Court for the Southern District of New York (the “District Court”) against the Retirement Plan, the Company and certain individuals (the “Company Defendants”) claiming that residual annuity payments associated with a 2005 residual annuity amendment to the Retirement Plan were improperly calculated for certain Retirement Plan participants in violation of ERISA. The relief sought included recalculation of benefits, pre- and post-judgment interest and attorneys’ fees. This action was certified as a class action in July 2017. In July 2020, the District Court dismissed certain claims, and in August 2020 granted the plaintiffs’ motion for summary judgment on the remaining claims. In September 2020, the Company appealed to the Second Circuit. In March 2023, the Second Circuit affirmed the grant of summary judgment to the plaintiffs.</w:t>
      </w:r>
    </w:p>
    <w:p>
      <w:pPr>
        <w:spacing w:after="0" w:line="230" w:lineRule="exact"/>
        <w:rPr>
          <w:sz w:val="20"/>
          <w:szCs w:val="20"/>
          <w:color w:val="auto"/>
        </w:rPr>
      </w:pPr>
    </w:p>
    <w:p>
      <w:pPr>
        <w:ind w:left="340" w:right="40"/>
        <w:spacing w:after="0" w:line="244" w:lineRule="auto"/>
        <w:rPr>
          <w:sz w:val="20"/>
          <w:szCs w:val="20"/>
          <w:color w:val="auto"/>
        </w:rPr>
      </w:pPr>
      <w:r>
        <w:rPr>
          <w:rFonts w:ascii="Times New Roman" w:cs="Times New Roman" w:eastAsia="Times New Roman" w:hAnsi="Times New Roman"/>
          <w:sz w:val="18"/>
          <w:szCs w:val="18"/>
          <w:color w:val="auto"/>
        </w:rPr>
        <w:t>In light of the Second Circuit decision, the Company recorded a charge to earnings of $267 in the quarter ended March 31, 2023, which is comprised of the recalculation of benefits and interest. Possible additional charges associated with this matter are expected to be immaterial and, where estimable, are reflected in the range of reasonably possible losses disclosed above. The decision resulted in an increase in the obligations of the Retirement Plan, which based on the current funded status of the Retirement Plan and depending on the asset performance, impact of interest rates for the remainder of the year and further developments in the litigation, may require a cash contribution by the Company in 2025. In June 2023, the Company filed a petition for certiorari to the United States Supreme Court requesting permission for an appeal to that court and that petition was denied in October 2023. Also, in June 2023, the plaintiffs filed a motion to enter a revised final judgment in the District Court to address certain unresolved calculation issues, which the Company opposed. In March 2024, the District Court granted the plaintiffs’ motion and found for the plaintiffs on those calculation issues. The Company is appealing that decision to the Second Circuit.</w:t>
      </w:r>
    </w:p>
    <w:p>
      <w:pPr>
        <w:spacing w:after="0" w:line="20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operates in two product segments: Oral, Personal and Home Care; and Pet Nutrition.</w:t>
      </w:r>
    </w:p>
    <w:p>
      <w:pPr>
        <w:spacing w:after="0" w:line="252" w:lineRule="exact"/>
        <w:rPr>
          <w:sz w:val="20"/>
          <w:szCs w:val="20"/>
          <w:color w:val="auto"/>
        </w:rPr>
      </w:pPr>
    </w:p>
    <w:p>
      <w:pPr>
        <w:ind w:left="340" w:right="580"/>
        <w:spacing w:after="0" w:line="282" w:lineRule="auto"/>
        <w:rPr>
          <w:sz w:val="20"/>
          <w:szCs w:val="20"/>
          <w:color w:val="auto"/>
        </w:rPr>
      </w:pPr>
      <w:r>
        <w:rPr>
          <w:rFonts w:ascii="Times New Roman" w:cs="Times New Roman" w:eastAsia="Times New Roman" w:hAnsi="Times New Roman"/>
          <w:sz w:val="18"/>
          <w:szCs w:val="18"/>
          <w:color w:val="auto"/>
        </w:rPr>
        <w:t>The operations of the Oral, Personal and Home Care product segment are managed geographically in five reportable operating segments: North America, Latin America, Europe, Asia Pacific and Africa/Eurasia.</w:t>
      </w:r>
    </w:p>
    <w:p>
      <w:pPr>
        <w:spacing w:after="0" w:line="18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In connection with management changes, the Company realigned the reporting structure of its skin health business effective July 1, 2024. Accordingly, commencing with the quarter ended September 30, 2024, the results of the skin health business previously reported within the Europe reportable operating segment are reported with the other skin health businesses in the North America reportable operating segment, with no impact on the Company's consolidated results of operations or financial position. The Company has recast its historical geographic segment information to conform to the new reporting structure.</w:t>
      </w:r>
    </w:p>
    <w:p>
      <w:pPr>
        <w:spacing w:after="0" w:line="210" w:lineRule="exact"/>
        <w:rPr>
          <w:sz w:val="20"/>
          <w:szCs w:val="20"/>
          <w:color w:val="auto"/>
        </w:rPr>
      </w:pPr>
    </w:p>
    <w:p>
      <w:pPr>
        <w:ind w:left="340" w:right="360"/>
        <w:spacing w:after="0" w:line="266" w:lineRule="auto"/>
        <w:rPr>
          <w:sz w:val="20"/>
          <w:szCs w:val="20"/>
          <w:color w:val="auto"/>
        </w:rPr>
      </w:pPr>
      <w:r>
        <w:rPr>
          <w:rFonts w:ascii="Times New Roman" w:cs="Times New Roman" w:eastAsia="Times New Roman" w:hAnsi="Times New Roman"/>
          <w:sz w:val="18"/>
          <w:szCs w:val="18"/>
          <w:color w:val="auto"/>
        </w:rPr>
        <w:t>As a result of this reporting structure realignment, the Company reallocated the goodwill of its skin health business (approximately $223) from the Europe segment to the North America segment. In conjunction with this reporting structure realignment, the Company completed an assessment indicating no goodwill impairment existed as a result of this new segment reporting structure.</w:t>
      </w:r>
    </w:p>
    <w:p>
      <w:pPr>
        <w:spacing w:after="0" w:line="203" w:lineRule="exact"/>
        <w:rPr>
          <w:sz w:val="20"/>
          <w:szCs w:val="20"/>
          <w:color w:val="auto"/>
        </w:rPr>
      </w:pPr>
    </w:p>
    <w:p>
      <w:pPr>
        <w:ind w:left="340" w:right="180"/>
        <w:spacing w:after="0" w:line="312" w:lineRule="auto"/>
        <w:rPr>
          <w:sz w:val="20"/>
          <w:szCs w:val="20"/>
          <w:color w:val="auto"/>
        </w:rPr>
      </w:pPr>
      <w:r>
        <w:rPr>
          <w:rFonts w:ascii="Times New Roman" w:cs="Times New Roman" w:eastAsia="Times New Roman" w:hAnsi="Times New Roman"/>
          <w:sz w:val="17"/>
          <w:szCs w:val="17"/>
          <w:color w:val="auto"/>
        </w:rPr>
        <w:t>The Company evaluates segment performance based on several factors, including Operating profit. The Company uses Operating profit as a measure of operating segment performance because it excludes the impact of Corporate-driven decisions related to interest expense and income taxes.</w:t>
      </w:r>
    </w:p>
    <w:p>
      <w:pPr>
        <w:spacing w:after="0" w:line="167"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The accounting policies of the operating segments are generally the same as those described in Note 2, Summary of Significant Accounting Policies to the Company’s Consolidated Financial Statements included in the Company’s Annual Report on Form 10-K for the year ended December 31, 2023. Intercompany sales have been eliminated. Corporate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6" w:name="page17"/>
    <w:bookmarkEnd w:id="16"/>
    <w:p>
      <w:pPr>
        <w:ind w:left="37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operations include costs related to stock options and restricted stock units, research and development costs, Corporate overhead costs, restructuring and related implementation charges and gains and losses on sales of non-core product lines and assets. The Company reports these items within Corporate operations as they relate to Corporate-based responsibilities and decisions and are not included in the internal measures of segment operating performance used by the Company to measure the underlying performance of the operating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sales by segment were as follows:</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6"/>
        </w:trPr>
        <w:tc>
          <w:tcPr>
            <w:tcW w:w="3440" w:type="dxa"/>
            <w:vAlign w:val="bottom"/>
          </w:tcPr>
          <w:p>
            <w:pPr>
              <w:spacing w:after="0"/>
              <w:rPr>
                <w:sz w:val="24"/>
                <w:szCs w:val="24"/>
                <w:color w:val="auto"/>
              </w:rPr>
            </w:pPr>
          </w:p>
        </w:tc>
        <w:tc>
          <w:tcPr>
            <w:tcW w:w="29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4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223"/>
        </w:trPr>
        <w:tc>
          <w:tcPr>
            <w:tcW w:w="34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3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14,507</w:t>
            </w:r>
          </w:p>
        </w:tc>
      </w:tr>
      <w:tr>
        <w:trPr>
          <w:trHeight w:val="21"/>
        </w:trPr>
        <w:tc>
          <w:tcPr>
            <w:tcW w:w="3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Approximately two-thirds of the Company’s Net sales are generated from markets outside the U.S., with approximately 45% of the Company’s Net sales coming from emerging markets (which consist of Latin America, Asia (excluding Japan), Africa/Eurasia and Central Europe).</w:t>
      </w:r>
    </w:p>
    <w:p>
      <w:pPr>
        <w:spacing w:after="0" w:line="18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Company’s Net sales of Oral, Personal and Home Care and Pet Nutrition products accounted for the following percentages of the Company’s Net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3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Borders>
              <w:bottom w:val="single" w:sz="8" w:color="auto"/>
            </w:tcBorders>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10"/>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30"/>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Oral Care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Personal Care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Home Care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Pet Nutrition</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100 %</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100 %</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4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71" w:right="359" w:bottom="1440" w:gutter="0" w:footer="0" w:header="0"/>
        </w:sectPr>
      </w:pPr>
    </w:p>
    <w:bookmarkStart w:id="17" w:name="page18"/>
    <w:bookmarkEnd w:id="17"/>
    <w:p>
      <w:pPr>
        <w:ind w:left="37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 by segment was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8"/>
        </w:trPr>
        <w:tc>
          <w:tcPr>
            <w:tcW w:w="5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1"/>
                <w:szCs w:val="21"/>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3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0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profit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Table may not sum due to rounding.</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Operating profit (loss) for the three months ended September 30, 2024 and September 30, 2023 included charges resulting from the 2022 Global Productivity Initiative of $15 and $2, respectively.</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Corporate Operating profit (loss) for the nine months ended September 30, 2024 included charges resulting from the 2022 Global Productivity Initiative of $77.</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Operating profit (loss) for the nine months ended September 30, 2023 included product recall costs of $25 and charges resulting from the 2022 Global Productivity Initiative of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60" w:top="171" w:right="619" w:bottom="1440" w:gutter="0" w:footer="0" w:header="0"/>
        </w:sectPr>
      </w:pPr>
    </w:p>
    <w:bookmarkStart w:id="18" w:name="page19"/>
    <w:bookmarkEnd w:id="18"/>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 and Financial Instruments</w:t>
      </w:r>
    </w:p>
    <w:p>
      <w:pPr>
        <w:spacing w:after="0" w:line="256"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The Company uses available market information and other valuation methodologies in assessing the fair value of financial instruments. Judgment is required in interpreting market data to develop the estimates of fair value and, accordingly, changes in assumptions or the estimation methodologies may affect the fair value estimates. The Company is exposed to the risk of credit loss in the event of nonperformance by counterparties to financial instrument contracts; however, nonperformance is considered unlikely and any nonperformance is unlikely to be material, as it is the Company’s policy to contract only with diverse, credit-worthy counterparties based upon both strong credit ratings and other credit considerations.</w:t>
      </w:r>
    </w:p>
    <w:p>
      <w:pPr>
        <w:spacing w:after="0" w:line="210" w:lineRule="exact"/>
        <w:rPr>
          <w:sz w:val="20"/>
          <w:szCs w:val="20"/>
          <w:color w:val="auto"/>
        </w:rPr>
      </w:pPr>
    </w:p>
    <w:p>
      <w:pPr>
        <w:ind w:left="340" w:right="80"/>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interest rates and commodity price fluctuations. Volatility relating to these exposures is managed on a global basis by utilizing a number of techniques, including working capital management, sourcing strategies, selling price increases, selective borrowings in local currencies and entering into selective derivative instrument transactions, issued with standard features, in accordance with the Company’s treasury and risk management policies, which prohibit the use of derivatives for speculative purposes and leveraged derivatives for any purpose. It is the Company’s policy to enter into derivative instrument contracts with terms that match the underlying exposure being hedged.</w:t>
      </w:r>
    </w:p>
    <w:p>
      <w:pPr>
        <w:spacing w:after="0" w:line="214"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The Company’s derivative instruments include forward-starting interest rate swaps, foreign currency contracts and commodity contracts. The Company utilizes forward-starting interest rate swaps to mitigate the risk of variability in interest rate for future debt issuances and these swaps are valued using observable benchmark rates (Level 2 valuation). The Company utilizes foreign currency contracts, including forward and swap contracts, option contracts, local currency deposits and local currency borrowings to hedge portions of its foreign currency purchases, assets and liabilities arising in the normal course of business and the net investment in certain foreign subsidiaries. These contracts are valued using observable market rates (Level 2 valuation). Commodity futures contracts are utilized to hedge the purchases of raw materials used in production. These contracts are measured using quoted commodity exchange prices (Level 1 valuation). The duration of foreign currency and commodity contracts generally does not exceed 12 months.</w:t>
      </w:r>
    </w:p>
    <w:p>
      <w:pPr>
        <w:spacing w:after="0" w:line="219"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instruments and other financial instruments which are carried at fair value in the Company’s Condensed Consolidated Balance Sheets at September 30, 2024 and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derivative instruments</w:t>
            </w:r>
          </w:p>
        </w:tc>
        <w:tc>
          <w:tcPr>
            <w:tcW w:w="1420" w:type="dxa"/>
            <w:vAlign w:val="bottom"/>
            <w:gridSpan w:val="3"/>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gridSpan w:val="2"/>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18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440" w:type="dxa"/>
            <w:vAlign w:val="bottom"/>
            <w:gridSpan w:val="3"/>
            <w:vMerge w:val="continue"/>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color w:val="auto"/>
              </w:rPr>
              <w:t>Foreign currency</w:t>
            </w:r>
          </w:p>
        </w:tc>
        <w:tc>
          <w:tcPr>
            <w:tcW w:w="15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color w:val="auto"/>
              </w:rPr>
              <w:t>Other current</w:t>
            </w:r>
          </w:p>
        </w:tc>
        <w:tc>
          <w:tcPr>
            <w:tcW w:w="9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3"/>
                <w:szCs w:val="13"/>
                <w:color w:val="auto"/>
              </w:rPr>
            </w:pPr>
          </w:p>
        </w:tc>
        <w:tc>
          <w:tcPr>
            <w:tcW w:w="88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3"/>
                <w:szCs w:val="13"/>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4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9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5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 current</w:t>
            </w:r>
          </w:p>
        </w:tc>
        <w:tc>
          <w:tcPr>
            <w:tcW w:w="90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designated</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9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900" w:type="dxa"/>
            <w:vAlign w:val="bottom"/>
            <w:vMerge w:val="restart"/>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15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financial instruments</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ind w:left="37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carrying amount of cash, cash equivalents, marketable securities, accounts receivable and short-term debt approximated fair value as of September 30, 2024 and December 31, 2023. The estimated fair value of the Company’s long-term debt, including the current portion, as of September 30, 2024 and December 31, 2023, was $7,565 and $7,862, respectively, and the related carrying value was $7,929 and $8,239, respectively. The estimated fair value of long-term debt was derived principally from quoted prices on the Company’s outstanding fixed-term notes (Level 2 valuation).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 the notional values as of:</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Commodity</w:t>
            </w:r>
          </w:p>
        </w:tc>
        <w:tc>
          <w:tcPr>
            <w:tcW w:w="320" w:type="dxa"/>
            <w:vAlign w:val="bottom"/>
          </w:tcPr>
          <w:p>
            <w:pPr>
              <w:spacing w:after="0"/>
              <w:rPr>
                <w:sz w:val="14"/>
                <w:szCs w:val="14"/>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4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3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1,732</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1,022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621"/>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4"/>
          </w:tcPr>
          <w:p>
            <w:pPr>
              <w:jc w:val="center"/>
              <w:ind w:right="1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Commodity</w:t>
            </w:r>
          </w:p>
        </w:tc>
        <w:tc>
          <w:tcPr>
            <w:tcW w:w="320" w:type="dxa"/>
            <w:vAlign w:val="bottom"/>
          </w:tcPr>
          <w:p>
            <w:pPr>
              <w:spacing w:after="0"/>
              <w:rPr>
                <w:sz w:val="15"/>
                <w:szCs w:val="15"/>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3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6"/>
              </w:rPr>
              <w:t>869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6"/>
              </w:rPr>
              <w:t>280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amount of gain (loss) recognized in income associated with fair value hedges did not have a material impact on the Company’s Condensed Consolidated Financial Statements during the three and nine months ended September 30, 2024.</w:t>
      </w:r>
    </w:p>
    <w:p>
      <w:pPr>
        <w:spacing w:after="0" w:line="189"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The amount of gain (loss) recognized in income and Accumulated Other Comprehensive Income (AOCI) associated with cash flow hedges did not have a material impact on the Company’s Condensed Consolidated Financial Statements during the three and nine months ended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of gain (loss) on net investment hedges recognized in the Company’s AOCI:</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Gain (Loss) Recognized in AOCI</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302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19"/>
                <w:szCs w:val="19"/>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debt</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w w:val="99"/>
              </w:rPr>
              <w:t>(82)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gain (loss) on net investment hedges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660" w:top="17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660" w:top="171" w:right="399" w:bottom="1440" w:gutter="0" w:footer="0" w:header="0"/>
          <w:type w:val="continuous"/>
        </w:sectPr>
      </w:pPr>
    </w:p>
    <w:bookmarkStart w:id="20" w:name="page21"/>
    <w:bookmarkEnd w:id="20"/>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Supplier Finance Program</w:t>
      </w:r>
    </w:p>
    <w:p>
      <w:pPr>
        <w:spacing w:after="0" w:line="256" w:lineRule="exact"/>
        <w:rPr>
          <w:sz w:val="20"/>
          <w:szCs w:val="20"/>
          <w:color w:val="auto"/>
        </w:rPr>
      </w:pPr>
    </w:p>
    <w:p>
      <w:pPr>
        <w:ind w:left="340" w:right="120"/>
        <w:spacing w:after="0" w:line="256" w:lineRule="auto"/>
        <w:rPr>
          <w:sz w:val="20"/>
          <w:szCs w:val="20"/>
          <w:color w:val="auto"/>
        </w:rPr>
      </w:pPr>
      <w:r>
        <w:rPr>
          <w:rFonts w:ascii="Times New Roman" w:cs="Times New Roman" w:eastAsia="Times New Roman" w:hAnsi="Times New Roman"/>
          <w:sz w:val="18"/>
          <w:szCs w:val="18"/>
          <w:color w:val="auto"/>
        </w:rPr>
        <w:t>The Company has agreements to provide supplier finance programs which facilitate participating suppliers’ ability to finance payment obligations of the Company with designated third-party financial institutions. Participating suppliers may, at their sole discretion, elect to finance one or more payment obligations of the Company prior to their scheduled due dates at a discounted price to participating financial institutions. The Company’s obligations to its suppliers, including amounts due and scheduled payment dates, are not impacted by suppliers’ decisions to finance amounts under these arrangements. The outstanding payment obligations under the Company’s supplier finance programs are included in Accounts Payable in the Condensed Consolidated Balance Sheets and were not material as of September 30, 2024 and December 31,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56"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21.3% for the third quarter of 2024 as compared to 21.9% for the third quarter of 2023. The quarterly provision for income taxes is determined based on the Company’s estimated full year effective income tax rate adjusted by the amount of tax attributable to infrequent or unusual items that are separately recognized on a discrete basis in the income tax provision in the quarter in which they occur. The Company’s current estimate of its full year effective income tax rate before discrete period items is 23.7%, flat with the comparable period of 2023.</w:t>
      </w:r>
    </w:p>
    <w:p>
      <w:pPr>
        <w:spacing w:after="0" w:line="207"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In the third quarter of 2023, the Internal Revenue Service (the “IRS”) issued a notice giving taxpayers temporary relief from the effects of certain U.S. tax regulations that were issued in December 2021, which place greater restrictions on foreign taxes that are creditable against U.S. taxes on foreign-source income. This notice allowed taxpayers to defer the application of these new regulations through the end of 2023. In December 2023, the IRS issued further guidance modifying this temporary relief period to the date that a notice or other guidance withdrawing or modifying the temporary relief is issued. The Company will recognize the impact, if any, in the period in which the temporary relief is withdrawn or modified.</w:t>
      </w:r>
    </w:p>
    <w:p>
      <w:pPr>
        <w:spacing w:after="0" w:line="210"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The Company has ongoing federal, state and international income tax audits in various jurisdictions and evaluates uncertain tax positions that may be challenged by local tax authorities and not fully sustained. All U.S. federal income tax returns through December 31, 2013 have been audited by the IRS and there are limited matters which the Company plans to appeal for years 2010 through 2013. One such matter relates to the IRS assessment of taxes on the Company by imputing income on certain activities within one of our international operations, which is also under audit for the years 2014 through 2018. There were U.S. Tax Court rulings during 2023 in favor of the IRS against unrelated third parties on similar matters. Despite the U.S. Tax Court rulings, the Company continues to believe that the tax assessment against the Company is without merit. While there can be no assurances, the Company believes this matter will ultimately be decided in favor of the Company. The amount of tax plus interest for the years 2010 through 2018 is estimated to be approximately $150, which is not included in the Company’s uncertain tax positions. In May 2024, the IRS initiated an audit for the years 2019 through 2021.</w:t>
      </w:r>
    </w:p>
    <w:p>
      <w:pPr>
        <w:spacing w:after="0" w:line="215" w:lineRule="exact"/>
        <w:rPr>
          <w:sz w:val="20"/>
          <w:szCs w:val="20"/>
          <w:color w:val="auto"/>
        </w:rPr>
      </w:pPr>
    </w:p>
    <w:p>
      <w:pPr>
        <w:ind w:left="340" w:right="60"/>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enacted, which among other things, implements a 15% minimum tax on book income of certain large corporations effective for years beginning after December 31, 2022. Based on the Company’s analysis, as well as guidance published by the IRS, the IRA, and in particular the 15% minimum tax, did not have an impact on the Company’s Consolidated Financial Statements. Subsequent to the aforementioned guidance published by the IRS, on September 12, 2024, the U.S. Treasury Department and IRS released proposed regulations relating to this 15% minimum tax. The Company is currently evaluating the potential impact of these regulations and will evaluate any additional guidance and clarification that becomes available.</w:t>
      </w:r>
    </w:p>
    <w:p>
      <w:pPr>
        <w:spacing w:after="0" w:line="214" w:lineRule="exact"/>
        <w:rPr>
          <w:sz w:val="20"/>
          <w:szCs w:val="20"/>
          <w:color w:val="auto"/>
        </w:rPr>
      </w:pPr>
    </w:p>
    <w:p>
      <w:pPr>
        <w:ind w:left="340" w:right="40"/>
        <w:spacing w:after="0" w:line="255" w:lineRule="auto"/>
        <w:rPr>
          <w:sz w:val="20"/>
          <w:szCs w:val="20"/>
          <w:color w:val="auto"/>
        </w:rPr>
      </w:pPr>
      <w:r>
        <w:rPr>
          <w:rFonts w:ascii="Times New Roman" w:cs="Times New Roman" w:eastAsia="Times New Roman" w:hAnsi="Times New Roman"/>
          <w:sz w:val="18"/>
          <w:szCs w:val="18"/>
          <w:color w:val="auto"/>
        </w:rPr>
        <w:t>Additionally, on December 15, 2022, the 27 member states of the European Union (“EU”) reached an agreement on a minimum level of taxation for certain large corporations to pay a minimum corporate tax rate of 15% in every jurisdiction in which they operate. This agreement, which is known as the Minimum Tax Directive (part of the “Pillar II Model Rules”), was supposed to be transposed into the laws of all EU member states by December 31, 2023. Most member states complied, while some were granted extensions of time. In addition, many other jurisdictions outside the EU have also committed to implement this Directive while others have implemented a similar minimum tax regime consistent with the policy of the Pillar II Model Rules. Details of these rules are still being developed and, in some cases, enactment and timing is still uncertain. Based on current legislation and available guidance, this Directive does not have a material impact</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1" w:right="419" w:bottom="1440" w:gutter="0" w:footer="0" w:header="0"/>
        </w:sectPr>
      </w:pPr>
    </w:p>
    <w:bookmarkStart w:id="21" w:name="page22"/>
    <w:bookmarkEnd w:id="21"/>
    <w:p>
      <w:pPr>
        <w:ind w:left="37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Company’s Consolidated Financial Statements. However, as these rules and related regulations are revised and implemented, the Company will evaluate the impact, if any, on its Consolidated Financial Statements.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quarter ended June 30, 2023, the Company reassessed with its legal and tax advisers certain tax deductions taken in prior years by one of our subsidiaries and concluded that it was more likely than not that the deductions would not be sustained by the courts in that jurisdiction. The value of the tax deductions was not material to the Company in any year in which they were taken. The cumulative effect of the change in tax position of $148 was reflected as a discrete item in the quarter ended June 30, 2023 income tax expense, partially offset by the reversal of certain prior years’ withholding tax reserves of $22 that were no longer required. The tax liability was paid in the quarter ended September 30, 2023.</w:t>
      </w:r>
    </w:p>
    <w:p>
      <w:pPr>
        <w:spacing w:after="0" w:line="200" w:lineRule="exact"/>
        <w:rPr>
          <w:sz w:val="20"/>
          <w:szCs w:val="20"/>
          <w:color w:val="auto"/>
        </w:rPr>
      </w:pPr>
    </w:p>
    <w:p>
      <w:pPr>
        <w:spacing w:after="0" w:line="3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660" w:top="171" w:right="419" w:bottom="1440" w:gutter="0" w:footer="0" w:header="0"/>
        </w:sectPr>
      </w:pPr>
    </w:p>
    <w:bookmarkStart w:id="22" w:name="page23"/>
    <w:bookmarkEnd w:id="22"/>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Organization</w:t>
      </w:r>
    </w:p>
    <w:p>
      <w:pPr>
        <w:spacing w:after="0" w:line="24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Colgate-Palmolive Company (together with its subsidiaries, “we,” “us,” “our,” the “Company” or “Colgate”) is a caring, innovative growth company reimagining a healthier future for all people, their pets and our planet. We seek to deliver sustainable, profitable growth and superior shareholder returns, as well as to provide Colgate people with an innovative and inclusive work environment. We do this by developing and selling science-led products globally that make people’s and their pets’ lives healthier and more enjoyable and by embracing our sustainability and social impact and diversity, equity and inclusion (“DE&amp;I”) strategies across our organization.</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tightly focused on two product segments: Oral, Personal and Home Care; and Pet Nutrition. Within these segments, we follow a closely defined business strategy to grow our key product categories and increase our overall market share. Within the categories in which we compete, we prioritize our efforts based on their capacity to maximize the use of the organization’s core competencies and strong global equities and to deliver sustainable, profitable long-term growth.</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Operationally, we are organized along geographic lines with management teams having responsibility for the business and financial results in each region. We compete in more than 200 countries and territories worldwide with established businesses in all regions contributing to our sales and profitability. Approximately two-thirds of our Net sales are generated from markets outside the U.S., with approximately 45% of our Net sales coming from emerging markets (which consist of Latin America, Asia (excluding Japan), Africa/Eurasia and Central Europe). This geographic diversity and balance help to reduce our exposure to business and other risks in any one country or part of the world.</w:t>
      </w:r>
    </w:p>
    <w:p>
      <w:pPr>
        <w:spacing w:after="0" w:line="19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The Oral, Personal and Home Care product segment is managed geographically in five reportable operating segments: North America, Latin America, Europe, Asia Pacific and Africa/Eurasia, all of which sell primarily to a variety of traditional and eCommerce retailers, wholesalers, distributors, dentists and, in some segments, skin health professionals. Through Hill’s Pet Nutrition, we also compete on a worldwide basis in the pet nutrition market, selling products principally through authorized pet supply retailers, veterinarians and eCommerce retailers. We also sell certain of our products direct-to-consumer. We are engaged in manufacturing and sourcing of products and materials on a global scale and have major manufacturing facilities, warehousing facilities and distribution centers in every region around the world.</w:t>
      </w:r>
    </w:p>
    <w:p>
      <w:pPr>
        <w:spacing w:after="0" w:line="21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connection with management changes, we realigned the reporting structure of our skin health business effective July 1, 2024. Accordingly, commencing with the quarter ending September 30, 2024, the results of the skin health business previously reported within the Europe reportable operating segment are now reported with our other skin health businesses in the North America reportable operating segment, with no impact on the Company's consolidated results of operations or financial position.</w:t>
      </w:r>
    </w:p>
    <w:p>
      <w:pPr>
        <w:spacing w:after="0" w:line="22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On an ongoing basis, management focuses on a variety of key indicators to monitor business health and performance. These indicators include net sales (including volume, pricing and foreign exchange components), organic sales growth (net sales growth excluding the impact of foreign exchange, acquisitions and divestments), a non-GAAP financial measure, and gross profit margin, selling, general and administrative expenses, operating profit, net income and earnings per share, in each case, on a GAAP and non-GAAP basis, as well as measures used to optimize the management of working capital, capital expenditures, cash flow and return on capital. In addition, we review market share, household penetration and other data to assess how our brands are performing within their categories on a global and regional basis. The monitoring of these indicators and our Code of Conduct and corporate governance practices help to maintain business health and strong internal controls. For additional information regarding non-GAAP financial measures and the Company’s use of market share data and the limitations of such data, see “Non-GAAP Financial Measures” and “Market Share Information” below.</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4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war in Ukraine, and the related geopolitical tensions, have had and continue to have a significant impact on our operations in Ukraine and Russia, though it has not been material to our Consolidated Financial Statements. While our ability to do business in Ukraine has been significantly impacted, we remain committed to providing access to our products to people in the region. In Russia, we are importing and selling a reduced portfolio of health and hygiene products for everyday use. We have no manufacturing facilities in Russia and have ceased all capital investments and media activities in the country. For the nine months ended September 30, 2024, our business in the Eurasia region constituted approximately 1% of our consolidated net sales and approximately 2% of our consolidated operating profit. We have experienced, and expect to continue to experience, risks related to the impact of the war in Ukraine, including increases in the costs and, in certain cases, limitations on the availability of certain raw and packaging materials and commodities (including oil and natural gas), supply chain and logistics challenges, import restrictions, foreign currency volatility and reputational concerns. We also have faced and continue to face challenges to our ability to repatriate cash from Russia and finding banking partners to support our Russian operations and we may face challenges to our ability to protect our assets in Russia. We also continue to monitor the impact of sanctions, export controls and import restrictions imposed in response to the war in Ukraine.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the Middle East</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war in the Middle East has not had a material impact on our Consolidated Financial Statements. Uncertainties and risks remain as to the duration of the war and its impact on geopolitical relations and stability in North Africa, the Middle East and nearby regions. The war has impacted and may continue to impact, among other things, supply chain and logistics, the availability and price of raw and packaging materials and commodities such as oil, consumer sentiment and consumption and category growth rates in the region.</w:t>
      </w:r>
    </w:p>
    <w:p>
      <w:pPr>
        <w:spacing w:after="0" w:line="2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more information about factors that could impact our business, including due to geopolitical conflicts, such as the wars in Ukraine and the Middle East, refer to Part I, Item 1A “Risk Factors” of our Annual Report on Form 10-K for the year ended December 31, 2023.</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4" w:name="page25"/>
    <w:bookmarkEnd w:id="24"/>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achieve our business and financial objectives, we are focused on driving organic sales growth and consistent compounded earnings per share growth through science-led, core and premium innovation, pursuing higher-growth adjacent categories and segments, expanding in faster-growing channels and markets and delivering margin expansion through operating leverage and efficiency. We continue to prioritize our investments in high growth segments within our Oral Care, Personal Care and Pet Nutrition businesses. We are also seeking to lead in the development of human capital and to maximize the impact of our sustainability and social impact and DE&amp;I strategies. We are strengthening and leveraging our capabilities in areas such as innovation, digital, artificial intelligence, eCommerce and data and analytics, enabling us to be more responsive in today’s rapidly changing world. We continue to invest behind our brands, including through advertising, and to develop initiatives to build strong relationships with consumers, dental, veterinary and skin health professionals and traditional and eCommerce retailers. We continue to believe that growth opportunities are greater in those areas of the world in which economic development and rising consumer incomes expand the size and number of markets for our products.</w:t>
      </w:r>
    </w:p>
    <w:p>
      <w:pPr>
        <w:spacing w:after="0" w:line="2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investments needed to drive growth are supported through continuous, Company-wide initiatives to lower costs and increase effective asset utilization. Through these initiatives, which are referred to as our funding-the-growth initiatives, we seek to become even more effective and efficient throughout our businesses. These initiatives are designed to reduce costs associated with direct materials, indirect expenses, distribution and logistics and advertising and promotional materials, among other things, and encompass a wide range of projects, examples of which include raw material substitution, reduction of packaging materials, consolidating suppliers to leverage volumes and increasing manufacturing efficiency through SKU reductions and formulation simplification.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Items Impacting Comparability</w:t>
      </w:r>
    </w:p>
    <w:p>
      <w:pPr>
        <w:spacing w:after="0" w:line="24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During the quarter ended June 30, 2023, we reassessed with our legal and tax advisers certain tax deductions taken in prior years by one of our subsidiaries and concluded that it was more likely than not that the deductions would not be sustained by the courts in that jurisdiction. The value of the tax deductions was not material to us in any year in which they were taken. The cumulative effect of the change in tax position of $148 was reflected as a discrete item in the quarter ended June 30, 2023 income tax expense, partially offset by the reversal of certain prior years’ withholding tax reserves of $22 that are no longer required (hereinafter referred to as the “foreign tax matter”). The tax liability was paid in the quarter ended September 30, 2023. See Note 13, Income Taxes, to the Condensed Consolidated Financial Statements for additional information.</w:t>
      </w:r>
    </w:p>
    <w:p>
      <w:pPr>
        <w:spacing w:after="0" w:line="21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During the quarter ended March 31, 2023, we recorded a charge of $267 as a result of a decision of the United States Court of Appeals for the Second Circuit (the “Second Circuit”) affirming a grant of summary judgment to the plaintiffs in a lawsuit under the Employee Retirement Income Security Act seeking the recalculation of benefits and other relief associated with a 2005 residual annuity amendment to the Colgate-Palmolive Company Employees’ Retirement Income Plan (the “Retirement Plan”). The decision resulted in an increase in the obligations of the Retirement Plan, which based on the current funded status of the Retirement Plan and depending on the asset performance, impact of interest rates for the remainder of the year and further developments in the litigation, may require a cash contribution by the Company in 2025. In June 2023, we filed a petition for certiorari to the United States Supreme Court requesting permission for an appeal to that court and that petition was denied in October 2023. Also, in June 2023, the plaintiffs filed a motion to enter a revised final judgment in the United States District Court for the Southern District of New York (the “District Court”) to address certain unresolved calculation issues, which we opposed. In March 2024, the District Court granted the plaintiffs’ motion and found for the plaintiffs on those calculation issues. We are appealing that decision to the Second Circuit. See Note 9, Contingencies to the Condensed Consolidated Financial Statements for additional information.</w:t>
      </w:r>
    </w:p>
    <w:p>
      <w:pPr>
        <w:spacing w:after="0" w:line="21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2023, we announced a voluntary recall of select Fabuloso multi-purpose cleaner products sold in the United States and Canada. The costs associated with the voluntary recall had a $25 impact on our Operating profit in the nine months ended September 30, 2023.</w:t>
      </w:r>
    </w:p>
    <w:p>
      <w:pPr>
        <w:spacing w:after="0" w:line="189"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On January 27, 2022, the Company’s Board of Directors (the “Board”) approved a targeted productivity program (the “2022 Global Productivity Initiative”). All initiatives under the program have been implemented as of the third quarter of 2024 and we expect to incur the remaining charges by the end of 2024. The 2022 Global Productivity Initiative resulted in the reallocation of resources towards our strategic priorities and faster growth businesses, efficiencies in our operations and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7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streamlining of our supply chain to reduce structural costs. Total pretax charges from the implementation of the 2022 Global Productivity Initiative are expected to be approximately $225 ($180 aftertax), once all charges are recorded. Total annualized pretax savings from the 2022 Global Productivity Initiative are expected to be approximately $125 ($100 aftertax). For more information regarding the 2022 Global Productivity Initiative, see “Restructuring and Related Implementation Charges” below.</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2024 and 2023, we incurred pretax costs of $15 (aftertax costs of $13) and $2 (aftertax costs of $2), respectively, resulting from the 2022 Global Productivity Initiative.</w:t>
      </w:r>
    </w:p>
    <w:p>
      <w:pPr>
        <w:spacing w:after="0" w:line="18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2024 and 2023, we incurred pretax costs of $77 (aftertax costs of $67) and $29 (aftertax costs of $23), respectively, resulting from the 2022 Global Productivity Initiative.</w:t>
      </w:r>
    </w:p>
    <w:p>
      <w:pPr>
        <w:sectPr>
          <w:pgSz w:w="11900" w:h="16838" w:orient="portrait"/>
          <w:cols w:equalWidth="0" w:num="1">
            <w:col w:w="11120"/>
          </w:cols>
          <w:pgMar w:left="320" w:top="117" w:right="459" w:bottom="7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798" w:gutter="0" w:footer="0" w:header="0"/>
          <w:type w:val="continuous"/>
        </w:sectPr>
      </w:pPr>
    </w:p>
    <w:bookmarkStart w:id="26" w:name="page27"/>
    <w:bookmarkEnd w:id="26"/>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Looking forward, we expect global macroeconomic, political and market conditions to remain challenging, including as a result of inflation, high interest rates and foreign currency volatility. We have taken and are taking additional pricing to try to offset the increases in raw and packaging material costs we have seen in recent years. This has negatively impacted consumer demand for our products. Additionally, inflation has impacted the broader economy with consumers around the world facing widespread rising prices as well as high interest rates resulting from measures to address inflation. Such inflation and high interest rates may negatively impact consumer consumption or discretionary spending and/or change their purchasing patterns by foregoing purchasing certain of our products or by switching to “private label” or to our lower-priced product offerings. Although we continue to devote significant resources to support our brands and market our products at multiple price points, these changes could reduce demand for and sales volumes of our products or result in a shift in our product mix from higher margin to lower margin product offerings. In light of this challenging environment, we expect continued volatility across all of our categories and it is therefore difficult to predict category growth rates in the near term.</w:t>
      </w:r>
    </w:p>
    <w:p>
      <w:pPr>
        <w:spacing w:after="0" w:line="2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Given that approximately two-thirds of our Net sales originate in markets outside the U.S., we have experienced and will likely continue to experience volatile foreign currency fluctuations, particularly in Argentina and Türkiye, which are considered hyper-inflationary economies. As discussed above, we have also experienced higher raw and packaging material costs. While we have taken, and will continue to take, measures to mitigate the effect of these conditions, such as the 2022 Global Productivity Initiative and our funding-the-growth and revenue growth management initiatives, in the current environment it may become increasingly difficult to implement certain of these mitigation strategies. Should these conditions persist, they could adversely affect our future results.</w:t>
      </w:r>
    </w:p>
    <w:p>
      <w:pPr>
        <w:spacing w:after="0" w:line="21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While the global marketplace in which we operate has always been highly competitive, we continue to experience heightened competitive activity in certain markets from strong local competitors, from other large multinational companies, some of which have greater resources than we do, and from new entrants into the market in many of our categories. Such activities have included more aggressive product claims and marketing challenges, as well as increased promotional spending and geographic expansion.</w:t>
      </w:r>
    </w:p>
    <w:p>
      <w:pPr>
        <w:spacing w:after="0" w:line="20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have been negatively affected by changes in the policies and practices of our trade customers in key markets, such as inventory destocking, fulfillment requirements, limitations on access to shelf space, delisting of our products and certain sustainability, supply chain and packaging standards or initiatives. In addition, the retail landscape in many of our markets continues to evolve as a result of the continued growth of eCommerce, changing consumer preferences (as consumers increasingly shop online and via mobile and social applications) and the increased presence of alternative retail channels, such as subscription services and direct-to-consumer businesses. We plan to continue to invest behind our data strategy, digital and analytics (including artificial intelligence) capabilities and higher growth businesses. The substantial growth in eCommerce and the emergence of alternative retail channels have created and may continue to create pricing pressures and/or adversely affect our relationships with our key retailers.</w:t>
      </w:r>
    </w:p>
    <w:p>
      <w:pPr>
        <w:spacing w:after="0" w:line="2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continue to closely monitor the impact of geopolitical events and tensions, such as the wars in Ukraine and the Middle East and tensions between China and Taiwan and the challenging market conditions discussed above, on our business and the related uncertainties and risks. While we have taken, and will continue to take, measures to mitigate the effects of these events and conditions, we cannot estimate with certainty the full extent of their impact on our business, results of operations, cash flows and/or financial condition. For more information about factors that could impact our business, see “Risk Factors” in Part I, Item 1A of our Annual Report on Form 10-K for the year ended December 31, 2023.</w:t>
      </w:r>
    </w:p>
    <w:p>
      <w:pPr>
        <w:spacing w:after="0" w:line="21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We believe that we are well prepared to meet the challenges ahead due to our strong financial condition, experience operating in challenging environments, resilient global supply chain, dedicated and diverse global team and focused business strategy. Our strategy is based on driving organic sales growth and consistent compounded earnings per share growth through science-led, core and premium innovation, pursuing higher-growth adjacent categories and segments, expanding in faster-growing channels and markets and delivering margin expansion through operating leverage and efficiency. We are also seeking to lead in the development of human capital and to maximize our sustainability and social impact and DE&amp;I strategies. Our commitment to these priorities, the strength of our brands, the breadth of our global footprint and a commitment to profitability and driving efficiency in cash generation should position us well to manage through the challenges we face and increase shareholder value over time.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Worldwide Net sales were $5,033 in the third quarter of 2024, up 2.4% from the third quarter of 2023, due to volume growth of 3.7% and net selling price increases of 3.1%, partially offset by negative foreign exchange of 4.4%. Organic sales (Net sales excluding the impact of foreign exchange, acquisitions and divestments), a non-GAAP financial measure, increased 6.8% in the third quarter of 2024. A reconciliation of net sales growth to organic sales growth is provided under “Non-GAAP Financial Measures” below.</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sales in the Oral, Personal and Home Care product segment were $3,907 in the third quarter of 2024, up 1.3% from the third quarter of 2023, due to volume growth of 3.7% and net selling price increases of 3.1%, partially offset by negative foreign exchange of 5.5%. Organic sales in the Oral, Personal and Home Care product segment increased 6.8% in the third quarter of 2024.</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share of the global toothpaste market was 41.6% on a year-to-date basis, up 0.5 share points from the year ago period, and its share of the global manual toothbrush market was 32.3% on a year-to-date basis, up 0.9 share points from the year ago period. Year-to-date market shares in toothpaste were up in Latin America, Europe and Africa/Eurasia and flat in North America and Asia/Pacific versus the comparable 2023 period. In the manual toothbrush category, year-to-date market shares were up in North America, Latin America and Asia/Pacific and flat in Europe and Africa/Eurasia versus the comparable 2023 period. For additional information regarding market shares, see “Market Share Information” below.</w:t>
      </w:r>
    </w:p>
    <w:p>
      <w:pPr>
        <w:spacing w:after="0" w:line="2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Net sales in the Hill’s Pet Nutrition segment were $1,126 in the third quarter of 2024, up 6.3% from the third quarter of 2023, due to volume growth of 3.6% and net selling price increases of 2.8%, partially offset by negative foreign exchange of 0.1%. Organic sales in the Hill’s Pet Nutrition segment increased 6.5% in the third quarter of 2024.</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Profit/Margin</w:t>
      </w:r>
    </w:p>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Worldwide Gross profit increased to $3,074 in the third quarter of 2024 compared to $2,877 in the third quarter of 2023. Worldwide Gross profit in both periods included charges resulting from the 2022 Global Productivity Initiative. Excluding these charges in both periods, Worldwide Gross profit increased to $3,083 in the third quarter of 2024 compared to $2,878 in the third quarter of 2023, reflecting an increase of $136 resulting from higher Gross profit margin and an increase of $69 resulting from higher Net sales.</w:t>
      </w:r>
    </w:p>
    <w:p>
      <w:pPr>
        <w:spacing w:after="0" w:line="20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Worldwide Gross profit margin increased to 61.1% in the third quarter of 2024 from 58.5% in the third quarter of 2023. Excluding charges resulting from the 2022 Global Productivity Initiative in both periods, Gross profit margin increased to 61.3% in the third quarter of 2024 from 58.6% in the third quarter of 2023. This increase in Gross profit margin was due to cost savings from the Company’s funding-the-growth initiatives (270 bps), higher pricing (110 bps) and favorable mix (40 bps), partially offset by higher raw and packaging material costs (150 bps), which included foreign exchange transaction costs.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4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19"/>
                <w:szCs w:val="19"/>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GAAP</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non-GAAP</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Basis Point</w:t>
            </w:r>
          </w:p>
        </w:tc>
        <w:tc>
          <w:tcPr>
            <w:tcW w:w="0" w:type="dxa"/>
            <w:vAlign w:val="bottom"/>
          </w:tcPr>
          <w:p>
            <w:pPr>
              <w:spacing w:after="0"/>
              <w:rPr>
                <w:sz w:val="1"/>
                <w:szCs w:val="1"/>
                <w:color w:val="auto"/>
              </w:rPr>
            </w:pPr>
          </w:p>
        </w:tc>
      </w:tr>
      <w:tr>
        <w:trPr>
          <w:trHeight w:val="243"/>
        </w:trPr>
        <w:tc>
          <w:tcPr>
            <w:tcW w:w="7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 GAAP</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58.5 %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 non-GAAP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58.6 %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66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5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9% to $1,979 in the third quarter of 2024 compared to $1,822 in the third quarter of 2023. Selling, general and administrative expenses in the third quarter of 2024 included charges resulting from the 2022 Global Productivity Initiative. Excluding these charges, Selling, general and administrative expenses increased 8% to $1,976 in the third quarter of 2024 compared to $1,822 in the third quarter of 2023, reflecting increased advertising investment of $96 and higher overhead expenses of $58.</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increased by 220 bps to 39.3% in the third quarter of 2024 as compared to 37.1% in the third quarter of 2023. This increase was due to increased advertising investment (160 bps) and higher overhead expenses (60 bps). In the third quarter of 2024, advertising investment increased as a percentage of Net sales to 13.8% from 12.2% in the third quarter of 2023, or 16% in absolute terms, to $694 as compared with $598 in the third quarter of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4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19"/>
                <w:szCs w:val="19"/>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GAAP</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non-GAAP</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4680" w:type="dxa"/>
            <w:vAlign w:val="bottom"/>
            <w:tcBorders>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65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Basis Point Change</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percentage of Net sales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26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Other (income) expense, net was $30 in the third quarter of 2024 and $26 in the third quarter of 2023. Other (income) expense, net in both periods included charges resulting from the 2022 Global Productivity Initiative. Excluding these charges in both periods, Other (income) expense, net was $27 in the third quarter of 2024 and $25 in the third quarter of 2023.</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38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20" w:type="dxa"/>
            <w:vAlign w:val="bottom"/>
            <w:tcBorders>
              <w:bottom w:val="single" w:sz="8" w:color="auto"/>
            </w:tcBorders>
          </w:tcPr>
          <w:p>
            <w:pPr>
              <w:spacing w:after="0"/>
              <w:rPr>
                <w:sz w:val="20"/>
                <w:szCs w:val="20"/>
                <w:color w:val="auto"/>
              </w:rPr>
            </w:pPr>
          </w:p>
        </w:tc>
      </w:tr>
      <w:tr>
        <w:trPr>
          <w:trHeight w:val="223"/>
        </w:trPr>
        <w:tc>
          <w:tcPr>
            <w:tcW w:w="68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19"/>
                <w:szCs w:val="19"/>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 GAAP</w:t>
            </w:r>
          </w:p>
        </w:tc>
        <w:tc>
          <w:tcPr>
            <w:tcW w:w="1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 non-GAAP</w:t>
            </w:r>
          </w:p>
        </w:tc>
        <w:tc>
          <w:tcPr>
            <w:tcW w:w="156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Profit</w:t>
      </w:r>
    </w:p>
    <w:p>
      <w:pPr>
        <w:spacing w:after="0" w:line="23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Operating profit increased 4% to $1,065 in the third quarter of 2024 from $1,029 in the third quarter of 2023. Operating profit in both periods included charges resulting from the 2022 Global Productivity Initiative. Excluding these charges in both periods, Operating profit increased 5% to $1,080 in the third quarter of 2024 from $1,031 in the third quarter of 2023.</w:t>
      </w: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profit margin was 21.2% in the third quarter of 2024, an increase of 30 bps compared to 20.9% in the third quarter of 2023. Excluding charges resulting from the 2022 Global Productivity Initiative in both periods, Operating profit margin was 21.5% in the third quarter of 2024, an increase of 50 bps compared to 21.0% in the third quarter of 2023. This increase in Operating profit margin was due to an increase in Gross profit (270 bps), partially offset by an increase in Selling, general and administrative expenses (220 bps), both as a percentage of Net 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4160" w:type="dxa"/>
            <w:vAlign w:val="bottom"/>
            <w:tcBorders>
              <w:bottom w:val="single" w:sz="8" w:color="auto"/>
            </w:tcBorders>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 Change</w:t>
            </w:r>
          </w:p>
        </w:tc>
        <w:tc>
          <w:tcPr>
            <w:tcW w:w="360" w:type="dxa"/>
            <w:vAlign w:val="bottom"/>
            <w:tcBorders>
              <w:bottom w:val="single" w:sz="8" w:color="auto"/>
            </w:tcBorders>
          </w:tcPr>
          <w:p>
            <w:pPr>
              <w:spacing w:after="0"/>
              <w:rPr>
                <w:sz w:val="19"/>
                <w:szCs w:val="19"/>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GAAP</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1,029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non-GAAP</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190"/>
              <w:spacing w:after="0" w:line="177" w:lineRule="exact"/>
              <w:rPr>
                <w:sz w:val="20"/>
                <w:szCs w:val="20"/>
                <w:color w:val="auto"/>
              </w:rPr>
            </w:pPr>
            <w:r>
              <w:rPr>
                <w:rFonts w:ascii="Times New Roman" w:cs="Times New Roman" w:eastAsia="Times New Roman" w:hAnsi="Times New Roman"/>
                <w:sz w:val="18"/>
                <w:szCs w:val="18"/>
                <w:color w:val="auto"/>
              </w:rPr>
              <w:t>Basis Point</w:t>
            </w:r>
          </w:p>
        </w:tc>
      </w:tr>
      <w:tr>
        <w:trPr>
          <w:trHeight w:val="234"/>
        </w:trPr>
        <w:tc>
          <w:tcPr>
            <w:tcW w:w="7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 GAAP</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20.9 %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 non-GAAP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Non-Service Related Postretirement Costs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Non-service related postretirement costs were $23 in the third quarter of 2024 as compared to $15 in the third quarter of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 Expense,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expense, net was $56 in the third quarter of 2024 as compared to $58 in the third quarter of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Colgate-Palmolive Company and Earnings Per Share</w:t>
      </w:r>
    </w:p>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income attributable to Colgate-Palmolive Company in the third quarter of 2024 increased to $737 from $708 in the third quarter of 2023, and Earnings per common share on a diluted basis increased to $0.90 per share in the third quarter of 2024 from $0.86 in the third quarter of 2023. Net Income attributable to Colgate-Palmolive Company in both periods included charges resulting from the 2022 Global Productivity Initiative.</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Excluding the charges resulting from the 2022 Global Productivity Initiative described above in both periods, Net income attributable to Colgate-Palmolive Company in the third quarter of 2024 increased 6% to $750 from $710 in the third quarter of 2023, and Earnings per common share on a diluted basis increased 6% to $0.91 in the third quarter of 2024 from $0.86 in the third quarter of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Provision</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4"/>
                <w:szCs w:val="14"/>
                <w:color w:val="auto"/>
              </w:rPr>
            </w:pPr>
          </w:p>
        </w:tc>
        <w:tc>
          <w:tcPr>
            <w:tcW w:w="14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Less: Income</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Net Income</w:t>
            </w:r>
          </w:p>
        </w:tc>
        <w:tc>
          <w:tcPr>
            <w:tcW w:w="180" w:type="dxa"/>
            <w:vAlign w:val="bottom"/>
          </w:tcPr>
          <w:p>
            <w:pPr>
              <w:spacing w:after="0"/>
              <w:rPr>
                <w:sz w:val="14"/>
                <w:szCs w:val="14"/>
                <w:color w:val="auto"/>
              </w:rPr>
            </w:pPr>
          </w:p>
        </w:tc>
        <w:tc>
          <w:tcPr>
            <w:tcW w:w="9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Diluted</w:t>
            </w: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Before</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Including</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Attributable to</w:t>
            </w:r>
          </w:p>
        </w:tc>
        <w:tc>
          <w:tcPr>
            <w:tcW w:w="16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Attributable To</w:t>
            </w: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9"/>
              </w:rPr>
              <w:t>Income</w:t>
            </w:r>
          </w:p>
        </w:tc>
        <w:tc>
          <w:tcPr>
            <w:tcW w:w="112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For Income</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4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Colgate-Palmolive</w:t>
            </w:r>
          </w:p>
        </w:tc>
        <w:tc>
          <w:tcPr>
            <w:tcW w:w="10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Earnings Per</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Taxes</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line="230" w:lineRule="exact"/>
              <w:rPr>
                <w:sz w:val="20"/>
                <w:szCs w:val="20"/>
                <w:color w:val="auto"/>
              </w:rPr>
            </w:pPr>
            <w:r>
              <w:rPr>
                <w:rFonts w:ascii="Times New Roman" w:cs="Times New Roman" w:eastAsia="Times New Roman" w:hAnsi="Times New Roman"/>
                <w:sz w:val="18"/>
                <w:szCs w:val="18"/>
                <w:color w:val="auto"/>
                <w:w w:val="88"/>
              </w:rPr>
              <w:t>Taxes</w:t>
            </w:r>
            <w:r>
              <w:rPr>
                <w:rFonts w:ascii="Times New Roman" w:cs="Times New Roman" w:eastAsia="Times New Roman" w:hAnsi="Times New Roman"/>
                <w:sz w:val="23"/>
                <w:szCs w:val="23"/>
                <w:color w:val="auto"/>
                <w:w w:val="88"/>
                <w:vertAlign w:val="superscript"/>
              </w:rPr>
              <w:t>(1)</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Company</w:t>
            </w:r>
          </w:p>
        </w:tc>
        <w:tc>
          <w:tcPr>
            <w:tcW w:w="180" w:type="dxa"/>
            <w:vAlign w:val="bottom"/>
          </w:tcPr>
          <w:p>
            <w:pPr>
              <w:spacing w:after="0"/>
              <w:rPr>
                <w:sz w:val="19"/>
                <w:szCs w:val="19"/>
                <w:color w:val="auto"/>
              </w:rPr>
            </w:pPr>
          </w:p>
        </w:tc>
        <w:tc>
          <w:tcPr>
            <w:tcW w:w="900" w:type="dxa"/>
            <w:vAlign w:val="bottom"/>
          </w:tcPr>
          <w:p>
            <w:pPr>
              <w:jc w:val="right"/>
              <w:ind w:right="170"/>
              <w:spacing w:after="0" w:line="230"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23"/>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8"/>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Provision</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4"/>
                <w:szCs w:val="14"/>
                <w:color w:val="auto"/>
              </w:rPr>
            </w:pPr>
          </w:p>
        </w:tc>
        <w:tc>
          <w:tcPr>
            <w:tcW w:w="14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Less: Income</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Net Income</w:t>
            </w:r>
          </w:p>
        </w:tc>
        <w:tc>
          <w:tcPr>
            <w:tcW w:w="180" w:type="dxa"/>
            <w:vAlign w:val="bottom"/>
          </w:tcPr>
          <w:p>
            <w:pPr>
              <w:spacing w:after="0"/>
              <w:rPr>
                <w:sz w:val="14"/>
                <w:szCs w:val="14"/>
                <w:color w:val="auto"/>
              </w:rPr>
            </w:pPr>
          </w:p>
        </w:tc>
        <w:tc>
          <w:tcPr>
            <w:tcW w:w="9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Diluted</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Before</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Including</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Attributable to</w:t>
            </w:r>
          </w:p>
        </w:tc>
        <w:tc>
          <w:tcPr>
            <w:tcW w:w="16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Attributable To</w:t>
            </w: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9"/>
              </w:rPr>
              <w:t>Income</w:t>
            </w:r>
          </w:p>
        </w:tc>
        <w:tc>
          <w:tcPr>
            <w:tcW w:w="112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For Income</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4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Colgate-Palmolive</w:t>
            </w:r>
          </w:p>
        </w:tc>
        <w:tc>
          <w:tcPr>
            <w:tcW w:w="10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Earnings Per</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Taxes</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line="230" w:lineRule="exact"/>
              <w:rPr>
                <w:sz w:val="20"/>
                <w:szCs w:val="20"/>
                <w:color w:val="auto"/>
              </w:rPr>
            </w:pPr>
            <w:r>
              <w:rPr>
                <w:rFonts w:ascii="Times New Roman" w:cs="Times New Roman" w:eastAsia="Times New Roman" w:hAnsi="Times New Roman"/>
                <w:sz w:val="18"/>
                <w:szCs w:val="18"/>
                <w:color w:val="auto"/>
                <w:w w:val="88"/>
              </w:rPr>
              <w:t>Taxes</w:t>
            </w:r>
            <w:r>
              <w:rPr>
                <w:rFonts w:ascii="Times New Roman" w:cs="Times New Roman" w:eastAsia="Times New Roman" w:hAnsi="Times New Roman"/>
                <w:sz w:val="23"/>
                <w:szCs w:val="23"/>
                <w:color w:val="auto"/>
                <w:w w:val="88"/>
                <w:vertAlign w:val="superscript"/>
              </w:rPr>
              <w:t>(1)</w:t>
            </w: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Company</w:t>
            </w:r>
          </w:p>
        </w:tc>
        <w:tc>
          <w:tcPr>
            <w:tcW w:w="180" w:type="dxa"/>
            <w:vAlign w:val="bottom"/>
          </w:tcPr>
          <w:p>
            <w:pPr>
              <w:spacing w:after="0"/>
              <w:rPr>
                <w:sz w:val="19"/>
                <w:szCs w:val="19"/>
                <w:color w:val="auto"/>
              </w:rPr>
            </w:pPr>
          </w:p>
        </w:tc>
        <w:tc>
          <w:tcPr>
            <w:tcW w:w="900" w:type="dxa"/>
            <w:vAlign w:val="bottom"/>
          </w:tcPr>
          <w:p>
            <w:pPr>
              <w:jc w:val="right"/>
              <w:ind w:right="170"/>
              <w:spacing w:after="0" w:line="230"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23"/>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income tax effect on non-GAAP items is calculated based upon the tax laws and statutory income tax rates applicable in the tax jurisdiction(s) of the underlying non-GAAP adjustment.</w:t>
      </w:r>
    </w:p>
    <w:p>
      <w:pPr>
        <w:spacing w:after="0" w:line="3" w:lineRule="exact"/>
        <w:rPr>
          <w:rFonts w:ascii="Times New Roman" w:cs="Times New Roman" w:eastAsia="Times New Roman" w:hAnsi="Times New Roman"/>
          <w:sz w:val="22"/>
          <w:szCs w:val="22"/>
          <w:color w:val="auto"/>
          <w:vertAlign w:val="superscript"/>
        </w:rPr>
      </w:pPr>
    </w:p>
    <w:p>
      <w:pPr>
        <w:ind w:left="180" w:hanging="172"/>
        <w:spacing w:after="0" w:line="189" w:lineRule="auto"/>
        <w:tabs>
          <w:tab w:leader="none" w:pos="1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impact of non-GAAP adjustments on diluted earnings per share may not necessarily equal the difference between “GAAP” and “non-GAAP” as a result of rounding.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 and Operating Profit by Segment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Oral, Personal and Home Care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North America</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77"/>
        </w:trPr>
        <w:tc>
          <w:tcPr>
            <w:tcW w:w="1080" w:type="dxa"/>
            <w:vAlign w:val="bottom"/>
            <w:tcBorders>
              <w:top w:val="single" w:sz="8" w:color="auto"/>
            </w:tcBorders>
          </w:tcPr>
          <w:p>
            <w:pPr>
              <w:spacing w:after="0"/>
              <w:rPr>
                <w:sz w:val="24"/>
                <w:szCs w:val="24"/>
                <w:color w:val="auto"/>
              </w:rPr>
            </w:pPr>
          </w:p>
        </w:tc>
        <w:tc>
          <w:tcPr>
            <w:tcW w:w="5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6"/>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1080" w:type="dxa"/>
            <w:vAlign w:val="bottom"/>
            <w:tcBorders>
              <w:bottom w:val="single" w:sz="8" w:color="CCEEFF"/>
            </w:tcBorders>
          </w:tcPr>
          <w:p>
            <w:pPr>
              <w:spacing w:after="0"/>
              <w:rPr>
                <w:sz w:val="19"/>
                <w:szCs w:val="19"/>
                <w:color w:val="auto"/>
              </w:rPr>
            </w:pPr>
          </w:p>
        </w:tc>
        <w:tc>
          <w:tcPr>
            <w:tcW w:w="5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(170) bps</w:t>
            </w:r>
          </w:p>
        </w:tc>
      </w:tr>
    </w:tbl>
    <w:p>
      <w:pPr>
        <w:spacing w:after="0" w:line="15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Net sales in North America decreased 2.1% in the third quarter of 2024 to $1,004, driven by net selling price decreases of 3.2% and negative foreign exchange of 0.2%, partially offset by volume growth of 1.2%. Organic sales in North America decreased 1.9% in the third quarter of 2024. The organic sales decline was driven by the United States.</w:t>
      </w:r>
    </w:p>
    <w:p>
      <w:pPr>
        <w:spacing w:after="0" w:line="1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decrease in organic sales in North America in the third quarter of 2024 versus the third quarter of 2023 was primarily due to a decrease in Personal Care organic sales, partially offset by growth in Home Care organic sales. The decrease in Personal Care was primarily due to organic sales declines in the skin health, bar soap and underarm protection categories. The increase in Home Care was primarily due to organic sales growth in the surface cleaner and fabric softener categories, partially offset by organic sales decline in the hand dish category.</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profit in North America decreased 9% in the third quarter of 2024 to $206, or 170 bps to 20.5% as a percentage of Net sales. This decrease in Operating profit as a percentage of Net sales was primarily due to an increase in Selling, general and administrative expenses (270 bps), partially offset by an increase in Gross profit (90 bps), both as a percentage of Net sales. This increase in Gross profit margin was primarily due to cost savings from the Company’s funding-the-growth initiatives (190 bps), partially offset by lower pricing. This increase in Selling, general and administrative expenses was due to increased advertising investment (150 bps) and higher overhead expenses (120 bps).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Latin America</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77"/>
        </w:trPr>
        <w:tc>
          <w:tcPr>
            <w:tcW w:w="10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6"/>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104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 bps</w:t>
            </w: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sales in Latin America decreased 3.2% in the third quarter of 2024 to $1,156, driven by negative foreign exchange of 17.4%, partially offset by volume growth of 3.3% and net selling price increases of 10.9%. Organic sales in Latin America increased 14.2% in the third quarter of 2024. Organic sales growth was led by Argentina, Brazil and Mexico.</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increase in organic sales in Latin America in the third quarter of 2024 versus the third quarter of 2023 was primarily due to an increase in Oral Care organic sales. The increase in Oral Care was primarily due to organic sales growth in the toothpaste and manual toothbrush categories.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Operating profit in Latin America decreased 2% in the third quarter of 2024 to $365, while as a percentage of Net sales it increased 40 bps to 31.6%. This increase in Operating profit as a percentage of Net sales was due to an increase in Gross profit (240 bps), partially offset by an increase in Selling, general and administrative expenses (110 bps) and an increase in Other (income) expense, net (90 bps), all as a percentage of Net sales. This increase in Gross profit was primarily due to higher pricing and cost savings from the Company’s funding-the-growth initiatives (280 bps), partially offset by significantly higher raw and packaging material costs (460 bps), which included foreign exchange transaction costs. This increase in Selling, general and administrative expenses was primarily due to higher overhead expenses (80 bps).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Europe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77"/>
        </w:trPr>
        <w:tc>
          <w:tcPr>
            <w:tcW w:w="540" w:type="dxa"/>
            <w:vAlign w:val="bottom"/>
            <w:tcBorders>
              <w:top w:val="single" w:sz="8" w:color="auto"/>
            </w:tcBorders>
          </w:tcPr>
          <w:p>
            <w:pPr>
              <w:spacing w:after="0"/>
              <w:rPr>
                <w:sz w:val="24"/>
                <w:szCs w:val="24"/>
                <w:color w:val="auto"/>
              </w:rPr>
            </w:pPr>
          </w:p>
        </w:tc>
        <w:tc>
          <w:tcPr>
            <w:tcW w:w="6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80" w:type="dxa"/>
            <w:vAlign w:val="bottom"/>
            <w:tcBorders>
              <w:bottom w:val="single" w:sz="8" w:color="auto"/>
            </w:tcBorders>
          </w:tcPr>
          <w:p>
            <w:pPr>
              <w:spacing w:after="0"/>
              <w:rPr>
                <w:sz w:val="24"/>
                <w:szCs w:val="24"/>
                <w:color w:val="auto"/>
              </w:rPr>
            </w:pPr>
          </w:p>
        </w:tc>
      </w:tr>
      <w:tr>
        <w:trPr>
          <w:trHeight w:val="223"/>
        </w:trPr>
        <w:tc>
          <w:tcPr>
            <w:tcW w:w="540" w:type="dxa"/>
            <w:vAlign w:val="bottom"/>
            <w:tcBorders>
              <w:bottom w:val="single" w:sz="8" w:color="CCEEFF"/>
            </w:tcBorders>
          </w:tcPr>
          <w:p>
            <w:pPr>
              <w:spacing w:after="0"/>
              <w:rPr>
                <w:sz w:val="19"/>
                <w:szCs w:val="19"/>
                <w:color w:val="auto"/>
              </w:rPr>
            </w:pPr>
          </w:p>
        </w:tc>
        <w:tc>
          <w:tcPr>
            <w:tcW w:w="6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480" w:type="dxa"/>
            <w:vAlign w:val="bottom"/>
            <w:tcBorders>
              <w:bottom w:val="single" w:sz="8" w:color="auto"/>
            </w:tcBorders>
          </w:tcPr>
          <w:p>
            <w:pPr>
              <w:spacing w:after="0"/>
              <w:rPr>
                <w:sz w:val="19"/>
                <w:szCs w:val="19"/>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4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sales in Europe increased 8.0% in the third quarter of 2024 to $744, driven by volume growth of 4.1%, net selling price increases of 2.2% and positive foreign exchange of 1.6%. Organic sales in Europe increased 6.3% in the third quarter of 2024. Organic sales growth was led by Germany, the United Kingdom and Poland.</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increase in organic sales in Europe in the third quarter of 2024 versus the third quarter of 2023 was primarily due to increases in Oral Care and Home Care organic sales. The increase in Oral Care was primarily due to organic sales growth in the toothpaste category. The increase in Home Care was primarily due to organic sales growth in the hand dish and fabric softener categories.</w:t>
      </w:r>
    </w:p>
    <w:p>
      <w:pPr>
        <w:spacing w:after="0" w:line="20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profit in Europe increased 10% in the third quarter of 2024 to $181, or 30 bps to 24.3% as a percentage of Net sales. This increase in Operating profit as a percentage of Net sales was primarily due to an increase in Gross profit (400 bps), partially offset by an increase in Selling, general and administrative expenses (350 bps), both as a percentage of Net sales. This increase in Gross profit was primarily due to cost savings from the Company’s funding-the-growth initiatives (280 bps) and higher pricing. This increase in Selling, general and administrative expenses was due to increased advertising investment (250 bps) and higher overhead expenses (100 bps).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Asia Pacific</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77"/>
        </w:trPr>
        <w:tc>
          <w:tcPr>
            <w:tcW w:w="880" w:type="dxa"/>
            <w:vAlign w:val="bottom"/>
            <w:tcBorders>
              <w:top w:val="single" w:sz="8" w:color="auto"/>
            </w:tcBorders>
          </w:tcPr>
          <w:p>
            <w:pPr>
              <w:spacing w:after="0"/>
              <w:rPr>
                <w:sz w:val="24"/>
                <w:szCs w:val="24"/>
                <w:color w:val="auto"/>
              </w:rPr>
            </w:pPr>
          </w:p>
        </w:tc>
        <w:tc>
          <w:tcPr>
            <w:tcW w:w="5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80" w:type="dxa"/>
            <w:vAlign w:val="bottom"/>
            <w:tcBorders>
              <w:bottom w:val="single" w:sz="8" w:color="auto"/>
            </w:tcBorders>
          </w:tcPr>
          <w:p>
            <w:pPr>
              <w:spacing w:after="0"/>
              <w:rPr>
                <w:sz w:val="24"/>
                <w:szCs w:val="24"/>
                <w:color w:val="auto"/>
              </w:rPr>
            </w:pPr>
          </w:p>
        </w:tc>
      </w:tr>
      <w:tr>
        <w:trPr>
          <w:trHeight w:val="223"/>
        </w:trPr>
        <w:tc>
          <w:tcPr>
            <w:tcW w:w="88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480" w:type="dxa"/>
            <w:vAlign w:val="bottom"/>
            <w:tcBorders>
              <w:bottom w:val="single" w:sz="8" w:color="auto"/>
            </w:tcBorders>
          </w:tcPr>
          <w:p>
            <w:pPr>
              <w:spacing w:after="0"/>
              <w:rPr>
                <w:sz w:val="19"/>
                <w:szCs w:val="19"/>
                <w:color w:val="auto"/>
              </w:rPr>
            </w:pPr>
          </w:p>
        </w:tc>
      </w:tr>
      <w:tr>
        <w:trPr>
          <w:trHeight w:val="223"/>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 bps</w:t>
            </w:r>
          </w:p>
        </w:tc>
      </w:tr>
    </w:tbl>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sales in Asia Pacific increased 6.3% in the third quarter of 2024 to $725, driven by volume growth of 6.5% and positive foreign exchange of 0.2%, partially offset by net selling price decreases of 0.3%. Organic sales in Asia Pacific increased 6.1% in the third quarter of 2024. Organic sales growth was led by India, the Greater China region, the Philippines and Australia.</w:t>
      </w:r>
    </w:p>
    <w:p>
      <w:pPr>
        <w:spacing w:after="0" w:line="21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increase in organic sales in Asia Pacific in the third quarter of 2024 versus the third quarter of 2023 was primarily due to an increase in Oral Care organic sales. The increase in Oral Care was primarily due to organic sales growth in the toothpaste category.</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profit in Asia Pacific increased 3% in the third quarter of 2024 to $199, while as a percentage of net sales it decreased 90 bps to 27.4%. This decrease in Operating profit as a percentage of Net sales was primarily due to an increase in Selling, general and administrative expense (390 bps), partially offset by an increase in Gross Profit (270 bps), both as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percentage of Net sales. This increase in Gross profit was primarily due to cost savings from the Company’s funding-the-growth initiatives (240 bps). This increase in Selling, general and administrative expenses was due to increased advertising investment (310 bps) and higher overhead expenses (70 bps).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Africa/Eurasia</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77"/>
        </w:trPr>
        <w:tc>
          <w:tcPr>
            <w:tcW w:w="1080" w:type="dxa"/>
            <w:vAlign w:val="bottom"/>
            <w:tcBorders>
              <w:top w:val="single" w:sz="8" w:color="auto"/>
            </w:tcBorders>
          </w:tcPr>
          <w:p>
            <w:pPr>
              <w:spacing w:after="0"/>
              <w:rPr>
                <w:sz w:val="24"/>
                <w:szCs w:val="24"/>
                <w:color w:val="auto"/>
              </w:rPr>
            </w:pPr>
          </w:p>
        </w:tc>
        <w:tc>
          <w:tcPr>
            <w:tcW w:w="5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6"/>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1080" w:type="dxa"/>
            <w:vAlign w:val="bottom"/>
            <w:tcBorders>
              <w:bottom w:val="single" w:sz="8" w:color="CCEEFF"/>
            </w:tcBorders>
          </w:tcPr>
          <w:p>
            <w:pPr>
              <w:spacing w:after="0"/>
              <w:rPr>
                <w:sz w:val="19"/>
                <w:szCs w:val="19"/>
                <w:color w:val="auto"/>
              </w:rPr>
            </w:pPr>
          </w:p>
        </w:tc>
        <w:tc>
          <w:tcPr>
            <w:tcW w:w="5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(140) bps</w:t>
            </w:r>
          </w:p>
        </w:tc>
      </w:tr>
    </w:tbl>
    <w:p>
      <w:pPr>
        <w:spacing w:after="0" w:line="15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Net sales in Africa/Eurasia increased 4.8% in the third quarter of 2024 to $278, driven by volume growth of 6.9% and net selling price increases of 3.9%, partially offset by negative foreign exchange of 6.0%. Organic sales in Africa/Eurasia increased 10.8% in the third quarter of 2024. Organic sales growth was led by Nigeria and Türkiye.</w:t>
      </w:r>
    </w:p>
    <w:p>
      <w:pPr>
        <w:spacing w:after="0" w:line="23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increase in organic sales in Africa/Eurasia in the third quarter of 2024 versus the third quarter of 2023 was primarily due to an increase in Oral Care organic sales. The increase in Oral Care was primarily due to organic sales growth in the toothpaste and manual toothbrush categories.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Operating profit in Africa/Eurasia decreased 1% in the third quarter of 2024 to $65, or 140 bps to 23.4% as a percentage of Net sales. This decrease in Operating profit as a percentage of Net sales was due to an increase in Selling, general and administrative expenses (290 bps) and an increase in Other (income) expense, net (90 bps), partially offset by an increase in Gross profit (240 bps), all as a percentage of Net sales. This increase in Gross profit was due to cost savings from the Company’s funding-the-growth initiatives (220 bps), higher pricing and favorable mix (60 bps), partially offset by higher raw and packaging material costs (180 bps), which included foreign exchange transaction costs. This increase in Selling, general and administrative expenses was due to higher overhead expenses (190 bps) and increased advertising investment (100 bps).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Hill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Pet Nutrition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77"/>
        </w:trPr>
        <w:tc>
          <w:tcPr>
            <w:tcW w:w="1400" w:type="dxa"/>
            <w:vAlign w:val="bottom"/>
            <w:tcBorders>
              <w:top w:val="single" w:sz="8" w:color="auto"/>
            </w:tcBorders>
          </w:tcPr>
          <w:p>
            <w:pPr>
              <w:spacing w:after="0"/>
              <w:rPr>
                <w:sz w:val="24"/>
                <w:szCs w:val="24"/>
                <w:color w:val="auto"/>
              </w:rPr>
            </w:pPr>
          </w:p>
        </w:tc>
        <w:tc>
          <w:tcPr>
            <w:tcW w:w="5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80" w:type="dxa"/>
            <w:vAlign w:val="bottom"/>
            <w:tcBorders>
              <w:bottom w:val="single" w:sz="8" w:color="auto"/>
            </w:tcBorders>
          </w:tcPr>
          <w:p>
            <w:pPr>
              <w:spacing w:after="0"/>
              <w:rPr>
                <w:sz w:val="24"/>
                <w:szCs w:val="24"/>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5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480" w:type="dxa"/>
            <w:vAlign w:val="bottom"/>
            <w:tcBorders>
              <w:bottom w:val="single" w:sz="8" w:color="auto"/>
            </w:tcBorders>
          </w:tcPr>
          <w:p>
            <w:pPr>
              <w:spacing w:after="0"/>
              <w:rPr>
                <w:sz w:val="19"/>
                <w:szCs w:val="19"/>
                <w:color w:val="auto"/>
              </w:rPr>
            </w:pPr>
          </w:p>
        </w:tc>
      </w:tr>
      <w:tr>
        <w:trPr>
          <w:trHeight w:val="22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bps</w:t>
            </w:r>
          </w:p>
        </w:tc>
      </w:tr>
    </w:tbl>
    <w:p>
      <w:pPr>
        <w:spacing w:after="0" w:line="21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sales for Hill’s Pet Nutrition increased 6.3% in the third quarter of 2024 to $1,126, driven by volume growth of 3.6% and net selling price increases of 2.8%, partially offset by negative foreign exchange of 0.1%. Organic sales in Hill’s Pet Nutrition increased 6.5% in the third quarter of 2024. Organic sales growth was led by the 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organic sales in the third quarter of 2024 was due to organic sales growth in the therapeutic and wellness categories.</w:t>
      </w:r>
    </w:p>
    <w:p>
      <w:pPr>
        <w:spacing w:after="0" w:line="2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Operating profit in Hill’s Pet Nutrition increased 28% in the third quarter of 2024 to $258, or 390 bps to 22.9% as a percentage of Net sales. This increase in Operating profit as a percentage of Net sales was primarily due to an increase in Gross profit (380 bps), partially offset by an increase in Selling, general and administrative expenses (60 bps), both as a percentage of Net sales. This increase in Gross profit was primarily due to cost savings from the Company’s funding-the-growth initiatives (350 bps), higher pricing and favorable mix (70 bps), partially offset by higher raw and packaging material costs (150 bps).</w:t>
      </w:r>
    </w:p>
    <w:p>
      <w:pPr>
        <w:spacing w:after="0" w:line="3"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This increase in Selling, general and administrative expenses was due to increased advertising investment (170 bps), partially offset by lower overhead expenses (100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w:t>
      </w:r>
    </w:p>
    <w:p>
      <w:pPr>
        <w:spacing w:after="0" w:line="4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19685</wp:posOffset>
            </wp:positionV>
            <wp:extent cx="26657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 w:lineRule="exact"/>
        <w:rPr>
          <w:sz w:val="20"/>
          <w:szCs w:val="20"/>
          <w:color w:val="auto"/>
        </w:rPr>
      </w:pPr>
    </w:p>
    <w:p>
      <w:pPr>
        <w:ind w:left="7440"/>
        <w:spacing w:after="0"/>
        <w:tabs>
          <w:tab w:leader="none" w:pos="8720" w:val="left"/>
          <w:tab w:leader="none" w:pos="1020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7"/>
          <w:szCs w:val="17"/>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7040" w:val="left"/>
          <w:tab w:leader="none" w:pos="7780" w:val="left"/>
          <w:tab w:leader="none" w:pos="8320" w:val="left"/>
          <w:tab w:leader="none" w:pos="9060" w:val="left"/>
          <w:tab w:leader="none" w:pos="10600" w:val="left"/>
        </w:tabs>
        <w:rPr>
          <w:sz w:val="20"/>
          <w:szCs w:val="20"/>
          <w:color w:val="auto"/>
        </w:rPr>
      </w:pPr>
      <w:r>
        <w:rPr>
          <w:rFonts w:ascii="Times New Roman" w:cs="Times New Roman" w:eastAsia="Times New Roman" w:hAnsi="Times New Roman"/>
          <w:sz w:val="18"/>
          <w:szCs w:val="18"/>
          <w:color w:val="auto"/>
        </w:rPr>
        <w:t>Operating profit (loss)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(208)</w:t>
        <w:tab/>
        <w:t>$</w:t>
      </w:r>
      <w:r>
        <w:rPr>
          <w:sz w:val="20"/>
          <w:szCs w:val="20"/>
          <w:color w:val="auto"/>
        </w:rPr>
        <w:tab/>
      </w: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8"/>
          <w:szCs w:val="18"/>
          <w:color w:val="auto"/>
        </w:rPr>
        <w:t xml:space="preserve">6 </w:t>
      </w:r>
      <w:r>
        <w:rPr>
          <w:rFonts w:ascii="Arial" w:cs="Arial" w:eastAsia="Arial" w:hAnsi="Arial"/>
          <w:sz w:val="16"/>
          <w:szCs w:val="16"/>
          <w:color w:val="auto"/>
        </w:rPr>
        <w:t>%</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profit (loss) related to Corporate was $(208) in the third quarter of 2024 as compared to $(196) in the third quarter of 2023. In the third quarters of 2024 and 2023, Corporate Operating profit (loss) included charges resulting from the 2022 Global Productivity Initiative of $15 and $2, respectively.</w:t>
      </w:r>
    </w:p>
    <w:p>
      <w:pPr>
        <w:sectPr>
          <w:pgSz w:w="11900" w:h="16838" w:orient="portrait"/>
          <w:cols w:equalWidth="0" w:num="1">
            <w:col w:w="11100"/>
          </w:cols>
          <w:pgMar w:left="320" w:top="1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bookmarkStart w:id="36" w:name="page37"/>
    <w:bookmarkEnd w:id="36"/>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Worldwide Net sales were $15,156 in the first nine months of 2024, up 4.5% as compared to the first nine months of 2023 due to volume growth of 3.3% and net selling price increases of 5.2%, partially offset by negative foreign exchange of 4.0%. Organic sales increased 8.5% in the first nine months of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Oral, Personal and Home Care product segment were $11,814 in the first nine months of 2024, an increase of 4.3% as compared to the first nine months of 2023 due to volume growth of 4.0% and net selling price increases of 5.3%, partially offset by negative foreign exchange of 5.0%. Organic sales in the Oral, Personal and Home Care product segment increased 9.3% in the first nine months of 2024.</w:t>
      </w:r>
    </w:p>
    <w:p>
      <w:pPr>
        <w:spacing w:after="0" w:line="203"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 increase in organic sales in the first nine months of 2024 versus the first nine months of 2023 was due to increases in Oral Care, Personal Care and Home Care organic sales. The increase in Oral Care was primarily due to organic sales growth in the toothpaste and manual toothbrush categories. The increase in Personal Care was primarily due to organic sales growth in the body wash and liquid hand soap categories. The increase in Home Care was primarily due to organic sales growth in the surface cleaner and fabric softener categories.</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sales in the Hill’s Pet Nutrition segment were $3,342 in the first nine months of 2024, an increase of 5.2% from the first nine months of 2023 due to volume growth of 0.7% and net selling price increases of 4.9%, partially offset by negative foreign exchange of 0.4%. Organic sales in the Hill’s Pet Nutrition segment increased 5.6% in the first nine months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7" w:name="page38"/>
    <w:bookmarkEnd w:id="37"/>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Net Sales and Operating Profit by Segment</w:t>
            </w:r>
          </w:p>
        </w:tc>
        <w:tc>
          <w:tcPr>
            <w:tcW w:w="5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0"/>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and Operating profit by segment were as follows: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9"/>
        </w:trPr>
        <w:tc>
          <w:tcPr>
            <w:tcW w:w="31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10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12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r>
      <w:tr>
        <w:trPr>
          <w:trHeight w:val="229"/>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30"/>
        </w:trPr>
        <w:tc>
          <w:tcPr>
            <w:tcW w:w="81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29"/>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9"/>
        </w:trPr>
        <w:tc>
          <w:tcPr>
            <w:tcW w:w="8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15,156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14,507</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3120" w:type="dxa"/>
            <w:vAlign w:val="bottom"/>
            <w:shd w:val="clear" w:color="auto" w:fill="CCEEFF"/>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8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81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8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8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profit</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0"/>
        </w:trPr>
        <w:tc>
          <w:tcPr>
            <w:tcW w:w="31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has recast its historical geographic segment information to conform to the reporting structure effective as of July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Organic sales change by division were as follows: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7"/>
        </w:trPr>
        <w:tc>
          <w:tcPr>
            <w:tcW w:w="5420" w:type="dxa"/>
            <w:vAlign w:val="bottom"/>
          </w:tcPr>
          <w:p>
            <w:pPr>
              <w:spacing w:after="0"/>
              <w:rPr>
                <w:sz w:val="22"/>
                <w:szCs w:val="22"/>
                <w:color w:val="auto"/>
              </w:rPr>
            </w:pPr>
          </w:p>
        </w:tc>
        <w:tc>
          <w:tcPr>
            <w:tcW w:w="58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2024 vs. 2023</w:t>
            </w:r>
          </w:p>
        </w:tc>
      </w:tr>
      <w:tr>
        <w:trPr>
          <w:trHeight w:val="169"/>
        </w:trPr>
        <w:tc>
          <w:tcPr>
            <w:tcW w:w="5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As Reported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Foreign</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Net Sales</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Organic Sales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Volume</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Pricing</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Exchange</w:t>
            </w:r>
          </w:p>
        </w:tc>
      </w:tr>
      <w:tr>
        <w:trPr>
          <w:trHeight w:val="223"/>
        </w:trPr>
        <w:tc>
          <w:tcPr>
            <w:tcW w:w="5420" w:type="dxa"/>
            <w:vAlign w:val="bottom"/>
            <w:tcBorders>
              <w:top w:val="single" w:sz="8" w:color="CCEEFF"/>
            </w:tcBorders>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(0.1)%</w:t>
            </w: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19.4%</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54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(0.4)%</w:t>
            </w: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Table may not sum due to rounding.</w:t>
      </w:r>
    </w:p>
    <w:p>
      <w:pPr>
        <w:spacing w:after="0" w:line="166"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has recast its historical geographic segment information to conform to the reporting structure effective as of July 1, 2024.</w:t>
      </w:r>
    </w:p>
    <w:p>
      <w:pPr>
        <w:spacing w:after="0" w:line="21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first nine months of 2024, Operating profit (loss) related to Corporate was $(605) as compared to $(536) in the first nine months of 2023. Corporate Operating profit (loss) for the first nine months of 2024 included charges resulting from the 2022 Global Productivity Initiative of $77. Corporate Operating profit (loss) for the first nine months of 2023 included product recall costs of $25 and charges resulting from the 2022 Global Productivity Initiative of $25.</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Profit/Margin</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Worldwide Gross profit increased to $9,179 in the first nine months of 2024 from $8,376 in the first nine months of 2023. Worldwide Gross profit in both periods included charges resulting from the 2022 Global Productivity Initiative. Excluding these charges, Worldwide Gross profit increased to $9,198 in the first nine months of 2024 from $8,377 in the first nine months of 2023, reflecting an increase of $447 resulting from higher Gross profit margin and an increase of $374 resulting from higher Net sales.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Worldwide Gross profit margin increased to 60.6% in the first nine months of 2024 from 57.7% in the first nine months of 2023. Excluding charges resulting from the 2022 Global Productivity Initiative in both periods. Gross profit margin increased to 60.7% in the first nine months of 2024 from 57.7% in the first nine months of 2023, primarily due to cost savings from the Company’s funding-the-growth initiatives (260 bps) and higher pricing (200 bps), partially offset by higher raw and packaging material costs (180 bps), which included foreign exchange transaction costs.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8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auto"/>
            </w:tcBorders>
          </w:tcPr>
          <w:p>
            <w:pPr>
              <w:spacing w:after="0"/>
              <w:rPr>
                <w:sz w:val="19"/>
                <w:szCs w:val="19"/>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GAAP</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non-GAAP</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Basis Point</w:t>
            </w:r>
          </w:p>
        </w:tc>
      </w:tr>
      <w:tr>
        <w:trPr>
          <w:trHeight w:val="243"/>
        </w:trPr>
        <w:tc>
          <w:tcPr>
            <w:tcW w:w="7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 GAAP</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57.7 %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 non-GAAP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57.7 %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6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9% to $5,833 in the first nine months of 2024 from $5,348 in the first nine months of 2023. Selling, general and administrative expenses in both periods included charges resulting from the 2022 Global Productivity Initiative. Excluding these charges, Selling, general and administrative expenses increased to $5,829 in the first nine months of 2024 from $5,346 in the first nine months of 2023, reflecting increased advertising investment of $294 and higher overhead expenses of $189.</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increased to 38.5% in the first nine months of 2024 from 36.9% in the first nine months of 2023. This increase was largely due to increased advertising investment (140 bps). In the first nine months of 2024, advertising investment increased 17% in absolute terms to $2,072 as compared with $1,778 in the first nine months of 2023, while as a percentage of Net sales it increased to 13.7% from 12.3% in the first nine months of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00" w:type="dxa"/>
            <w:vAlign w:val="bottom"/>
            <w:tcBorders>
              <w:bottom w:val="single" w:sz="8" w:color="auto"/>
            </w:tcBorders>
          </w:tcPr>
          <w:p>
            <w:pPr>
              <w:spacing w:after="0"/>
              <w:rPr>
                <w:sz w:val="20"/>
                <w:szCs w:val="20"/>
                <w:color w:val="auto"/>
              </w:rPr>
            </w:pPr>
          </w:p>
        </w:tc>
      </w:tr>
      <w:tr>
        <w:trPr>
          <w:trHeight w:val="223"/>
        </w:trPr>
        <w:tc>
          <w:tcPr>
            <w:tcW w:w="75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GAAP</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5,348</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non-GAAP</w:t>
            </w: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5,346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396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78"/>
        </w:trPr>
        <w:tc>
          <w:tcPr>
            <w:tcW w:w="7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Basis Point</w:t>
            </w:r>
          </w:p>
        </w:tc>
      </w:tr>
      <w:tr>
        <w:trPr>
          <w:trHeight w:val="234"/>
        </w:trPr>
        <w:tc>
          <w:tcPr>
            <w:tcW w:w="72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percentage of Net sales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(income) expense, net was $141 in the first nine months of 2024 and $116 in the first nine months of 2023. Other (income) expense, net in the first nine months of 2024 included charges resulting from the 2022 Global Productivity Initiative. Other (income) expense, net in the first nine months of 2023 included product recall costs and charges resulting from the 2022 Global Productivity Initiative. Excluding these items in both periods, as applicable, Other (income) expense, net was $87 in the first nine months of 2024 and $69 in the first nine months of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3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420" w:type="dxa"/>
            <w:vAlign w:val="bottom"/>
            <w:tcBorders>
              <w:bottom w:val="single" w:sz="8" w:color="auto"/>
            </w:tcBorders>
          </w:tcPr>
          <w:p>
            <w:pPr>
              <w:spacing w:after="0"/>
              <w:rPr>
                <w:sz w:val="20"/>
                <w:szCs w:val="20"/>
                <w:color w:val="auto"/>
              </w:rPr>
            </w:pPr>
          </w:p>
        </w:tc>
      </w:tr>
      <w:tr>
        <w:trPr>
          <w:trHeight w:val="223"/>
        </w:trPr>
        <w:tc>
          <w:tcPr>
            <w:tcW w:w="75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19"/>
                <w:szCs w:val="19"/>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 GAAP</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recall costs</w:t>
            </w:r>
          </w:p>
        </w:tc>
        <w:tc>
          <w:tcPr>
            <w:tcW w:w="1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 non-GAAP</w:t>
            </w: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
        </w:trPr>
        <w:tc>
          <w:tcPr>
            <w:tcW w:w="75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Profit</w:t>
      </w:r>
    </w:p>
    <w:p>
      <w:pPr>
        <w:spacing w:after="0" w:line="25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profit increased 10% to $3,205 in the first nine months of 2024 from $2,912 in the first nine months of 2023. Operating profit in the first nine months of 2024 included charges resulting from the 2022 Global Productivity Initiative. Operating profit in the first nine months of 2023 included product recall costs and charges resulting from the 2022 Global Productivity Initiative. Excluding these items in both periods, as applicable, Operating profit increased to $3,282 in the first nine months of 2024 from $2,962 in the first nine months of 2023 primarily due to an increase in Gross profit, partially offset by an increase in Selling, general and administrative expenses.</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profit margin was 21.1% in the first nine months of 2024, an increase of 100 bps compared to 20.1% in the first nine months of 2023. Excluding the items described above in both periods, as applicable, Operating profit margin was 21.7% in the first nine months of 2024, an increase of 130 bps compared to 20.4% in the first nine months of 2023, primarily due to an increase in Gross profit (300 bps), partially offset by an increase in Selling, general and administrative expenses (160 bps), both as a percentage of Net 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40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 Change</w:t>
            </w:r>
          </w:p>
        </w:tc>
        <w:tc>
          <w:tcPr>
            <w:tcW w:w="400" w:type="dxa"/>
            <w:vAlign w:val="bottom"/>
            <w:tcBorders>
              <w:bottom w:val="single" w:sz="8" w:color="auto"/>
            </w:tcBorders>
          </w:tcPr>
          <w:p>
            <w:pPr>
              <w:spacing w:after="0"/>
              <w:rPr>
                <w:sz w:val="19"/>
                <w:szCs w:val="19"/>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GAAP</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3,205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10 %</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recall costs</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non-GAAP</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3,282</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2,962</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11 %</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Basis Point</w:t>
            </w:r>
          </w:p>
        </w:tc>
      </w:tr>
      <w:tr>
        <w:trPr>
          <w:trHeight w:val="243"/>
        </w:trPr>
        <w:tc>
          <w:tcPr>
            <w:tcW w:w="7580" w:type="dxa"/>
            <w:vAlign w:val="bottom"/>
            <w:gridSpan w:val="2"/>
          </w:tcPr>
          <w:p>
            <w:pPr>
              <w:ind w:left="7200"/>
              <w:spacing w:after="0"/>
              <w:rPr>
                <w:sz w:val="20"/>
                <w:szCs w:val="20"/>
                <w:color w:val="auto"/>
              </w:rPr>
            </w:pPr>
            <w:r>
              <w:rPr>
                <w:rFonts w:ascii="Times New Roman" w:cs="Times New Roman" w:eastAsia="Times New Roman" w:hAnsi="Times New Roman"/>
                <w:sz w:val="18"/>
                <w:szCs w:val="18"/>
                <w:color w:val="auto"/>
                <w:w w:val="99"/>
              </w:rPr>
              <w:t>2024</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 GAAP</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20.1 %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recall costs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r>
      <w:tr>
        <w:trPr>
          <w:trHeight w:val="22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margin, non-GAAP</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20.4 %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
        </w:trPr>
        <w:tc>
          <w:tcPr>
            <w:tcW w:w="6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Non-Service Related Postretirement Costs</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Non-service related postretirement costs were $67 in the first nine months of 2024 as compared to $338 in the first nine months of 2023. Non-service related postretirement costs in the first nine months of 2023 included charges related to the ERISA litigation matter and charges related to the 2022 Global Productivity Initiative. Excluding these charges, Non-service related postretirement costs were $67 in the first nine months of 2024 and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37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20" w:type="dxa"/>
            <w:vAlign w:val="bottom"/>
            <w:tcBorders>
              <w:bottom w:val="single" w:sz="8" w:color="auto"/>
            </w:tcBorders>
          </w:tcPr>
          <w:p>
            <w:pPr>
              <w:spacing w:after="0"/>
              <w:rPr>
                <w:sz w:val="20"/>
                <w:szCs w:val="20"/>
                <w:color w:val="auto"/>
              </w:rPr>
            </w:pPr>
          </w:p>
        </w:tc>
      </w:tr>
      <w:tr>
        <w:trPr>
          <w:trHeight w:val="223"/>
        </w:trPr>
        <w:tc>
          <w:tcPr>
            <w:tcW w:w="68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19"/>
                <w:szCs w:val="19"/>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 GAAP</w:t>
            </w:r>
          </w:p>
        </w:tc>
        <w:tc>
          <w:tcPr>
            <w:tcW w:w="1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5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5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 non-GAAP</w:t>
            </w:r>
          </w:p>
        </w:tc>
        <w:tc>
          <w:tcPr>
            <w:tcW w:w="1560" w:type="dxa"/>
            <w:vAlign w:val="bottom"/>
            <w:tcBorders>
              <w:top w:val="single" w:sz="8" w:color="auto"/>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
        </w:trPr>
        <w:tc>
          <w:tcPr>
            <w:tcW w:w="6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 Expense,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expense, net was $175 in the first nine months of 2024 as compared to $170 in the first nine months of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21.3% for the third quarter of 2024 as compared to 21.9% for the third quarter of 2023. As reflected in the table below, the non-GAAP effective income tax rate was 21.2% for the third quarter of 2024 as compared to 21.8% for the third quarter of 2023.</w:t>
      </w:r>
    </w:p>
    <w:p>
      <w:pPr>
        <w:spacing w:after="0" w:line="18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23.4% for the first nine months of 2024 as compared to 29.5% for the first nine months of 2023. As reflected in the table below, the non-GAAP effective income tax rate was 23.1% for the first nine months of 2024 as compared to 23.8% for the first nine months of 2023.</w:t>
      </w:r>
    </w:p>
    <w:p>
      <w:pPr>
        <w:spacing w:after="0" w:line="184"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18"/>
          <w:szCs w:val="18"/>
          <w:color w:val="auto"/>
        </w:rPr>
        <w:t>The quarterly provision for income taxes is determined based on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estimated full year effective income tax rate adjusted by the amount of tax attributable to infrequent or unusual items that are separately recognized on a discrete basis in the income tax provision in the quarter in which they occur.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current estimate of its full year effective income tax rate before discrete period items is 23.7%, flat with 2023.</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third quarter of 2023, the Internal Revenue Service (the “IRS”) issued a notice giving taxpayers temporary relief from the effects of certain U.S. tax regulations that were issued in December 2021, which place greater restrictions on foreign taxes that are creditable against U.S. taxes on foreign-source income. This notice allowed taxpayers to defer the application of these new regulations through the end of 2023. In December 2023, the IRS issued further guidance modifying this temporary relief period to the date that a notice or other guidance withdrawing or modifying the temporary relief is issued. The Company will recognize the impact, if any, in the period in which the temporary relief is withdrawn or modified.</w:t>
      </w:r>
    </w:p>
    <w:p>
      <w:pPr>
        <w:spacing w:after="0" w:line="14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The Company has ongoing federal, state and international income tax audits in various jurisdictions and evaluates uncertain tax positions that may be challenged by local tax authorities and not fully sustained. All U.S. federal income tax returns through December 31, 2013 have been audited by the IRS and there are limited matters which the Company plans to appeal for years 2010 through 2013. One such matter relates to the IRS assessment of taxes on the Company by imputing income on certain activities within one of our international operations, which is also under audit for the years 2014 through 2018. There were U.S. Tax Court rulings during 2023 in favor of the IRS against unrelated third parties on similar matters. Despite the U.S. Tax Court rulings, the Company continues to believe that the tax assessment against the Company is without merit. While there can be no assurances, the Company believes this matter will ultimately be decided in favor of the Company. The amount of tax plus interest for the years 2010 through 2018 is estimated to be approximately $150,</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not included in the Company’s uncertain tax positions. In May 2024, the IRS initiated an audit for the years 2019 through 2021.</w:t>
      </w:r>
    </w:p>
    <w:p>
      <w:pPr>
        <w:spacing w:after="0" w:line="171" w:lineRule="exact"/>
        <w:rPr>
          <w:sz w:val="20"/>
          <w:szCs w:val="20"/>
          <w:color w:val="auto"/>
        </w:rPr>
      </w:pPr>
    </w:p>
    <w:p>
      <w:pPr>
        <w:ind w:right="460"/>
        <w:spacing w:after="0" w:line="241"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enacted, which among other things, implements a 15% minimum tax on book income of certain large corporations effective for years beginning after December 31, 2022. Based on the Company’s analysis, as well as guidance published by the IRS, the IRA, and in particular the 15% minimum tax, did not have an impact on the Company’s Consolidated Financial Statements. Subsequent to the aforementioned guidance published by the IRS, on September 12, 2024, the U.S. Treasury Department and IRS released proposed regulations relating to this 15% minimum tax. The Company is currently evaluating the potential impact of these regulations and will evaluate any additional guidance and clarification that becomes available.</w:t>
      </w:r>
    </w:p>
    <w:p>
      <w:pPr>
        <w:spacing w:after="0" w:line="14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Additionally, on December 15, 2022, the 27 member states of the European Union (“EU”) reached an agreement on a minimum level of taxation for certain large corporations to pay a minimum corporate tax rate of 15% in every jurisdiction in which they operate. This agreement, which is known as the Minimum Tax Directive (part of the “Pillar II Model Rules”), was supposed to be transposed into the laws of all EU member states by December 31, 2023. Most member states complied while some were granted extensions of time. In addition, many other jurisdictions outside the EU have also committed to implement this Directive while others have implemented a similar minimum tax regime consistent with the policy of the Pillar II Model Rules. Details of these rules are still being developed and, in some cases, enactment and timing is still uncertain. Based on current legislation and available guidance, this Directive does not have a material impact on the Company’s Consolidated Financial Statements. However, as these rules and related regulations are revised and implemented, the Company will evaluate the impact, if any, on its Consolidated Financial Statements.</w:t>
      </w:r>
    </w:p>
    <w:p>
      <w:pPr>
        <w:spacing w:after="0" w:line="14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During the quarter ended June 30, 2023, we reassessed with our legal and tax advisers certain tax deductions taken in prior years by one of our subsidiaries and concluded that it was more likely than not that the deductions would not be sustained by the courts in that jurisdiction. The value of the tax deductions was not material to us in any year in which they were taken. The cumulative effect of the change in tax position of $148 was reflected as a discrete item in the quarter ended June 30, 2023 income tax expense, partially offset by the reversal of certain prior years’ withholding tax reserves of $22 that were no longer required. The tax liability was paid in the quarter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2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174"/>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8"/>
                <w:szCs w:val="18"/>
                <w:color w:val="auto"/>
              </w:rPr>
              <w:t>Income Before</w:t>
            </w:r>
          </w:p>
        </w:tc>
        <w:tc>
          <w:tcPr>
            <w:tcW w:w="1280" w:type="dxa"/>
            <w:vAlign w:val="bottom"/>
            <w:gridSpan w:val="3"/>
          </w:tcPr>
          <w:p>
            <w:pPr>
              <w:ind w:left="100"/>
              <w:spacing w:after="0" w:line="175" w:lineRule="exact"/>
              <w:rPr>
                <w:sz w:val="20"/>
                <w:szCs w:val="20"/>
                <w:color w:val="auto"/>
              </w:rPr>
            </w:pPr>
            <w:r>
              <w:rPr>
                <w:rFonts w:ascii="Times New Roman" w:cs="Times New Roman" w:eastAsia="Times New Roman" w:hAnsi="Times New Roman"/>
                <w:sz w:val="18"/>
                <w:szCs w:val="18"/>
                <w:color w:val="auto"/>
              </w:rPr>
              <w:t>Provision For</w:t>
            </w:r>
          </w:p>
        </w:tc>
        <w:tc>
          <w:tcPr>
            <w:tcW w:w="1400" w:type="dxa"/>
            <w:vAlign w:val="bottom"/>
          </w:tcPr>
          <w:p>
            <w:pPr>
              <w:ind w:left="80"/>
              <w:spacing w:after="0" w:line="175" w:lineRule="exact"/>
              <w:rPr>
                <w:sz w:val="20"/>
                <w:szCs w:val="20"/>
                <w:color w:val="auto"/>
              </w:rPr>
            </w:pPr>
            <w:r>
              <w:rPr>
                <w:rFonts w:ascii="Times New Roman" w:cs="Times New Roman" w:eastAsia="Times New Roman" w:hAnsi="Times New Roman"/>
                <w:sz w:val="18"/>
                <w:szCs w:val="18"/>
                <w:color w:val="auto"/>
              </w:rPr>
              <w:t>Effective Income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8"/>
                <w:szCs w:val="18"/>
                <w:color w:val="auto"/>
              </w:rPr>
              <w:t>Income Before</w:t>
            </w:r>
          </w:p>
        </w:tc>
        <w:tc>
          <w:tcPr>
            <w:tcW w:w="120" w:type="dxa"/>
            <w:vAlign w:val="bottom"/>
          </w:tcPr>
          <w:p>
            <w:pPr>
              <w:spacing w:after="0"/>
              <w:rPr>
                <w:sz w:val="15"/>
                <w:szCs w:val="15"/>
                <w:color w:val="auto"/>
              </w:rPr>
            </w:pPr>
          </w:p>
        </w:tc>
        <w:tc>
          <w:tcPr>
            <w:tcW w:w="1200" w:type="dxa"/>
            <w:vAlign w:val="bottom"/>
            <w:gridSpan w:val="2"/>
          </w:tcPr>
          <w:p>
            <w:pPr>
              <w:spacing w:after="0" w:line="175" w:lineRule="exact"/>
              <w:rPr>
                <w:sz w:val="20"/>
                <w:szCs w:val="20"/>
                <w:color w:val="auto"/>
              </w:rPr>
            </w:pPr>
            <w:r>
              <w:rPr>
                <w:rFonts w:ascii="Times New Roman" w:cs="Times New Roman" w:eastAsia="Times New Roman" w:hAnsi="Times New Roman"/>
                <w:sz w:val="18"/>
                <w:szCs w:val="18"/>
                <w:color w:val="auto"/>
              </w:rPr>
              <w:t>Provision For</w:t>
            </w: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Effective Income</w:t>
            </w:r>
          </w:p>
        </w:tc>
      </w:tr>
      <w:tr>
        <w:trPr>
          <w:trHeight w:val="238"/>
        </w:trPr>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Income Taxes</w:t>
            </w:r>
          </w:p>
        </w:tc>
        <w:tc>
          <w:tcPr>
            <w:tcW w:w="1280" w:type="dxa"/>
            <w:vAlign w:val="bottom"/>
            <w:gridSpan w:val="3"/>
          </w:tcPr>
          <w:p>
            <w:pPr>
              <w:ind w:left="20"/>
              <w:spacing w:after="0" w:line="237"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(1)</w:t>
            </w:r>
          </w:p>
        </w:tc>
        <w:tc>
          <w:tcPr>
            <w:tcW w:w="1500" w:type="dxa"/>
            <w:vAlign w:val="bottom"/>
            <w:gridSpan w:val="2"/>
          </w:tcPr>
          <w:p>
            <w:pPr>
              <w:ind w:left="320"/>
              <w:spacing w:after="0" w:line="237"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Income Taxes</w:t>
            </w:r>
          </w:p>
        </w:tc>
        <w:tc>
          <w:tcPr>
            <w:tcW w:w="1320" w:type="dxa"/>
            <w:vAlign w:val="bottom"/>
            <w:gridSpan w:val="3"/>
          </w:tcPr>
          <w:p>
            <w:pPr>
              <w:ind w:left="40"/>
              <w:spacing w:after="0" w:line="237"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(1)</w:t>
            </w:r>
          </w:p>
        </w:tc>
        <w:tc>
          <w:tcPr>
            <w:tcW w:w="1360" w:type="dxa"/>
            <w:vAlign w:val="bottom"/>
          </w:tcPr>
          <w:p>
            <w:pPr>
              <w:jc w:val="center"/>
              <w:spacing w:after="0" w:line="237" w:lineRule="exact"/>
              <w:rPr>
                <w:sz w:val="20"/>
                <w:szCs w:val="20"/>
                <w:color w:val="auto"/>
              </w:rPr>
            </w:pPr>
            <w:r>
              <w:rPr>
                <w:rFonts w:ascii="Times New Roman" w:cs="Times New Roman" w:eastAsia="Times New Roman" w:hAnsi="Times New Roman"/>
                <w:sz w:val="18"/>
                <w:szCs w:val="18"/>
                <w:color w:val="auto"/>
                <w:w w:val="93"/>
              </w:rPr>
              <w:t>Tax Rate</w:t>
            </w:r>
            <w:r>
              <w:rPr>
                <w:rFonts w:ascii="Times New Roman" w:cs="Times New Roman" w:eastAsia="Times New Roman" w:hAnsi="Times New Roman"/>
                <w:sz w:val="23"/>
                <w:szCs w:val="23"/>
                <w:color w:val="auto"/>
                <w:w w:val="93"/>
                <w:vertAlign w:val="superscript"/>
              </w:rPr>
              <w:t>(2)</w:t>
            </w: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21.9 %</w:t>
            </w: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21.8 %</w:t>
            </w: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2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69"/>
        </w:trPr>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8"/>
              </w:rPr>
              <w:t>Income Before</w:t>
            </w:r>
          </w:p>
        </w:tc>
        <w:tc>
          <w:tcPr>
            <w:tcW w:w="120" w:type="dxa"/>
            <w:vAlign w:val="bottom"/>
          </w:tcPr>
          <w:p>
            <w:pPr>
              <w:spacing w:after="0"/>
              <w:rPr>
                <w:sz w:val="14"/>
                <w:szCs w:val="14"/>
                <w:color w:val="auto"/>
              </w:rPr>
            </w:pPr>
          </w:p>
        </w:tc>
        <w:tc>
          <w:tcPr>
            <w:tcW w:w="1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Provision For</w:t>
            </w:r>
          </w:p>
        </w:tc>
        <w:tc>
          <w:tcPr>
            <w:tcW w:w="13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Effective Income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Income Before</w:t>
            </w:r>
          </w:p>
        </w:tc>
        <w:tc>
          <w:tcPr>
            <w:tcW w:w="120" w:type="dxa"/>
            <w:vAlign w:val="bottom"/>
          </w:tcPr>
          <w:p>
            <w:pPr>
              <w:spacing w:after="0"/>
              <w:rPr>
                <w:sz w:val="14"/>
                <w:szCs w:val="14"/>
                <w:color w:val="auto"/>
              </w:rPr>
            </w:pPr>
          </w:p>
        </w:tc>
        <w:tc>
          <w:tcPr>
            <w:tcW w:w="1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Provision For</w:t>
            </w:r>
          </w:p>
        </w:tc>
        <w:tc>
          <w:tcPr>
            <w:tcW w:w="13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Effective Income</w:t>
            </w:r>
          </w:p>
        </w:tc>
      </w:tr>
      <w:tr>
        <w:trPr>
          <w:trHeight w:val="243"/>
        </w:trPr>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Income Taxes</w:t>
            </w:r>
          </w:p>
        </w:tc>
        <w:tc>
          <w:tcPr>
            <w:tcW w:w="13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(1)</w:t>
            </w:r>
          </w:p>
        </w:tc>
        <w:tc>
          <w:tcPr>
            <w:tcW w:w="15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Income Taxes</w:t>
            </w:r>
          </w:p>
        </w:tc>
        <w:tc>
          <w:tcPr>
            <w:tcW w:w="13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(1)</w:t>
            </w:r>
          </w:p>
        </w:tc>
        <w:tc>
          <w:tcPr>
            <w:tcW w:w="1340" w:type="dxa"/>
            <w:vAlign w:val="bottom"/>
          </w:tcPr>
          <w:p>
            <w:pPr>
              <w:jc w:val="right"/>
              <w:ind w:right="190"/>
              <w:spacing w:after="0" w:line="243"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(2)</w:t>
            </w: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matter</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recall costs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1"/>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180" w:hanging="172"/>
        <w:spacing w:after="0" w:line="236" w:lineRule="auto"/>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income tax effect on non-GAAP items is calculated based upon the tax laws and statutory income tax rates applicable in the tax jurisdiction(s) of the underlying non-GAAP adjustment.</w:t>
      </w:r>
    </w:p>
    <w:p>
      <w:pPr>
        <w:spacing w:after="0" w:line="1" w:lineRule="exact"/>
        <w:rPr>
          <w:rFonts w:ascii="Times New Roman" w:cs="Times New Roman" w:eastAsia="Times New Roman" w:hAnsi="Times New Roman"/>
          <w:sz w:val="22"/>
          <w:szCs w:val="22"/>
          <w:color w:val="auto"/>
          <w:vertAlign w:val="superscript"/>
        </w:rPr>
      </w:pPr>
    </w:p>
    <w:p>
      <w:pPr>
        <w:ind w:left="180" w:right="80" w:hanging="172"/>
        <w:spacing w:after="0" w:line="201" w:lineRule="auto"/>
        <w:tabs>
          <w:tab w:leader="none" w:pos="183"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impact of non-GAAP items on the Company’s effective tax rate represents the difference in the effective tax rate calculated with and without the non-GAAP adjustment on Income before income taxes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Colgate-Palmolive Company and Earnings Per Share</w:t>
      </w:r>
    </w:p>
    <w:p>
      <w:pPr>
        <w:spacing w:after="0" w:line="2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income attributable to Colgate-Palmolive Company in the first nine months of 2024 increased to $2,150 from $1,582 in the comparable 2023 period. Earnings per common share on a diluted basis increased to $2.61 in the first nine months of 2024 from $1.90 in the comparable 2023 period. Net income attributable to Colgate-Palmolive Company in the first nine months of 2024 included charges resulting from the 2022 Global Productivity Initiative. Net income attributable to Colgate-Palmolive Company in the comparable 2023 period included charges resulting from the ERISA litigation matter, the foreign tax matter and the 2022 Global Productivity Initiative and product recall costs.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Excluding the items described above in both periods as applicable, Net income attributable to Colgate-Palmolive Company in the first nine months of 2024 increased 13% to $2,217 from $1,962 in the first nine months of 2023, and Earnings per common share on a diluted basis increased 14% to $2.69 in the first nine months of 2024 from $2.36 in the first nine months of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w w:val="99"/>
              </w:rPr>
              <w:t>Income</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Provision For</w:t>
            </w:r>
          </w:p>
        </w:tc>
        <w:tc>
          <w:tcPr>
            <w:tcW w:w="160" w:type="dxa"/>
            <w:vAlign w:val="bottom"/>
          </w:tcPr>
          <w:p>
            <w:pPr>
              <w:spacing w:after="0"/>
              <w:rPr>
                <w:sz w:val="15"/>
                <w:szCs w:val="15"/>
                <w:color w:val="auto"/>
              </w:rPr>
            </w:pPr>
          </w:p>
        </w:tc>
        <w:tc>
          <w:tcPr>
            <w:tcW w:w="152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w w:val="99"/>
              </w:rPr>
              <w:t>Net Income</w:t>
            </w:r>
          </w:p>
        </w:tc>
        <w:tc>
          <w:tcPr>
            <w:tcW w:w="160" w:type="dxa"/>
            <w:vAlign w:val="bottom"/>
          </w:tcPr>
          <w:p>
            <w:pPr>
              <w:spacing w:after="0"/>
              <w:rPr>
                <w:sz w:val="15"/>
                <w:szCs w:val="15"/>
                <w:color w:val="auto"/>
              </w:rPr>
            </w:pPr>
          </w:p>
        </w:tc>
        <w:tc>
          <w:tcPr>
            <w:tcW w:w="148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w w:val="99"/>
              </w:rPr>
              <w:t>Less: Income</w:t>
            </w:r>
          </w:p>
        </w:tc>
        <w:tc>
          <w:tcPr>
            <w:tcW w:w="1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Attributable</w:t>
            </w:r>
          </w:p>
        </w:tc>
        <w:tc>
          <w:tcPr>
            <w:tcW w:w="120" w:type="dxa"/>
            <w:vAlign w:val="bottom"/>
          </w:tcPr>
          <w:p>
            <w:pPr>
              <w:spacing w:after="0"/>
              <w:rPr>
                <w:sz w:val="15"/>
                <w:szCs w:val="15"/>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Diluted</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w w:val="97"/>
              </w:rPr>
              <w:t>Before</w:t>
            </w:r>
          </w:p>
        </w:tc>
        <w:tc>
          <w:tcPr>
            <w:tcW w:w="11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w w:val="98"/>
              </w:rPr>
              <w:t>Including</w:t>
            </w:r>
          </w:p>
        </w:tc>
        <w:tc>
          <w:tcPr>
            <w:tcW w:w="160" w:type="dxa"/>
            <w:vAlign w:val="bottom"/>
          </w:tcPr>
          <w:p>
            <w:pPr>
              <w:spacing w:after="0"/>
              <w:rPr>
                <w:sz w:val="15"/>
                <w:szCs w:val="15"/>
                <w:color w:val="auto"/>
              </w:rPr>
            </w:pPr>
          </w:p>
        </w:tc>
        <w:tc>
          <w:tcPr>
            <w:tcW w:w="148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rPr>
              <w:t>Attributable to</w:t>
            </w:r>
          </w:p>
        </w:tc>
        <w:tc>
          <w:tcPr>
            <w:tcW w:w="1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Income</w:t>
            </w:r>
          </w:p>
        </w:tc>
        <w:tc>
          <w:tcPr>
            <w:tcW w:w="180" w:type="dxa"/>
            <w:vAlign w:val="bottom"/>
          </w:tcPr>
          <w:p>
            <w:pPr>
              <w:spacing w:after="0"/>
              <w:rPr>
                <w:sz w:val="15"/>
                <w:szCs w:val="15"/>
                <w:color w:val="auto"/>
              </w:rPr>
            </w:pPr>
          </w:p>
        </w:tc>
        <w:tc>
          <w:tcPr>
            <w:tcW w:w="9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Income</w:t>
            </w:r>
          </w:p>
        </w:tc>
        <w:tc>
          <w:tcPr>
            <w:tcW w:w="16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Noncontrolling</w:t>
            </w:r>
          </w:p>
        </w:tc>
        <w:tc>
          <w:tcPr>
            <w:tcW w:w="16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Noncontrolling</w:t>
            </w:r>
          </w:p>
        </w:tc>
        <w:tc>
          <w:tcPr>
            <w:tcW w:w="120" w:type="dxa"/>
            <w:vAlign w:val="bottom"/>
          </w:tcPr>
          <w:p>
            <w:pPr>
              <w:spacing w:after="0"/>
              <w:rPr>
                <w:sz w:val="15"/>
                <w:szCs w:val="15"/>
                <w:color w:val="auto"/>
              </w:rPr>
            </w:pPr>
          </w:p>
        </w:tc>
        <w:tc>
          <w:tcPr>
            <w:tcW w:w="18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To Colgate-Palmolive</w:t>
            </w:r>
          </w:p>
        </w:tc>
        <w:tc>
          <w:tcPr>
            <w:tcW w:w="120" w:type="dxa"/>
            <w:vAlign w:val="bottom"/>
          </w:tcPr>
          <w:p>
            <w:pPr>
              <w:spacing w:after="0"/>
              <w:rPr>
                <w:sz w:val="15"/>
                <w:szCs w:val="15"/>
                <w:color w:val="auto"/>
              </w:rPr>
            </w:pPr>
          </w:p>
        </w:tc>
        <w:tc>
          <w:tcPr>
            <w:tcW w:w="10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Earnings Per</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Taxes</w:t>
            </w:r>
          </w:p>
        </w:tc>
        <w:tc>
          <w:tcPr>
            <w:tcW w:w="180" w:type="dxa"/>
            <w:vAlign w:val="bottom"/>
          </w:tcPr>
          <w:p>
            <w:pPr>
              <w:spacing w:after="0"/>
              <w:rPr>
                <w:sz w:val="19"/>
                <w:szCs w:val="19"/>
                <w:color w:val="auto"/>
              </w:rPr>
            </w:pPr>
          </w:p>
        </w:tc>
        <w:tc>
          <w:tcPr>
            <w:tcW w:w="98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Taxes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Interests</w:t>
            </w:r>
          </w:p>
        </w:tc>
        <w:tc>
          <w:tcPr>
            <w:tcW w:w="120" w:type="dxa"/>
            <w:vAlign w:val="bottom"/>
          </w:tcPr>
          <w:p>
            <w:pPr>
              <w:spacing w:after="0"/>
              <w:rPr>
                <w:sz w:val="19"/>
                <w:szCs w:val="19"/>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Company</w:t>
            </w:r>
          </w:p>
        </w:tc>
        <w:tc>
          <w:tcPr>
            <w:tcW w:w="120" w:type="dxa"/>
            <w:vAlign w:val="bottom"/>
          </w:tcPr>
          <w:p>
            <w:pPr>
              <w:spacing w:after="0"/>
              <w:rPr>
                <w:sz w:val="19"/>
                <w:szCs w:val="19"/>
                <w:color w:val="auto"/>
              </w:rPr>
            </w:pPr>
          </w:p>
        </w:tc>
        <w:tc>
          <w:tcPr>
            <w:tcW w:w="1040" w:type="dxa"/>
            <w:vAlign w:val="bottom"/>
          </w:tcPr>
          <w:p>
            <w:pPr>
              <w:jc w:val="center"/>
              <w:ind w:right="30"/>
              <w:spacing w:after="0" w:line="230" w:lineRule="exact"/>
              <w:rPr>
                <w:sz w:val="20"/>
                <w:szCs w:val="20"/>
                <w:color w:val="auto"/>
              </w:rPr>
            </w:pPr>
            <w:r>
              <w:rPr>
                <w:rFonts w:ascii="Times New Roman" w:cs="Times New Roman" w:eastAsia="Times New Roman" w:hAnsi="Times New Roman"/>
                <w:sz w:val="18"/>
                <w:szCs w:val="18"/>
                <w:color w:val="auto"/>
                <w:w w:val="95"/>
              </w:rPr>
              <w:t>Share</w:t>
            </w:r>
            <w:r>
              <w:rPr>
                <w:rFonts w:ascii="Times New Roman" w:cs="Times New Roman" w:eastAsia="Times New Roman" w:hAnsi="Times New Roman"/>
                <w:sz w:val="23"/>
                <w:szCs w:val="23"/>
                <w:color w:val="auto"/>
                <w:w w:val="95"/>
                <w:vertAlign w:val="superscript"/>
              </w:rPr>
              <w:t>(2)</w:t>
            </w:r>
          </w:p>
        </w:tc>
        <w:tc>
          <w:tcPr>
            <w:tcW w:w="0" w:type="dxa"/>
            <w:vAlign w:val="bottom"/>
          </w:tcPr>
          <w:p>
            <w:pPr>
              <w:spacing w:after="0"/>
              <w:rPr>
                <w:sz w:val="1"/>
                <w:szCs w:val="1"/>
                <w:color w:val="auto"/>
              </w:rPr>
            </w:pPr>
          </w:p>
        </w:tc>
      </w:tr>
      <w:tr>
        <w:trPr>
          <w:trHeight w:val="223"/>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Global Productivity Initiative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Net Income</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Less: Income</w:t>
            </w:r>
          </w:p>
        </w:tc>
        <w:tc>
          <w:tcPr>
            <w:tcW w:w="1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7"/>
              </w:rPr>
              <w:t>Before</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8"/>
              </w:rPr>
              <w:t>Including</w:t>
            </w:r>
          </w:p>
        </w:tc>
        <w:tc>
          <w:tcPr>
            <w:tcW w:w="16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Attributable to</w:t>
            </w:r>
          </w:p>
        </w:tc>
        <w:tc>
          <w:tcPr>
            <w:tcW w:w="1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Provision For</w:t>
            </w:r>
          </w:p>
        </w:tc>
        <w:tc>
          <w:tcPr>
            <w:tcW w:w="180" w:type="dxa"/>
            <w:vAlign w:val="bottom"/>
          </w:tcPr>
          <w:p>
            <w:pPr>
              <w:spacing w:after="0"/>
              <w:rPr>
                <w:sz w:val="16"/>
                <w:szCs w:val="16"/>
                <w:color w:val="auto"/>
              </w:rPr>
            </w:pPr>
          </w:p>
        </w:tc>
        <w:tc>
          <w:tcPr>
            <w:tcW w:w="152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20" w:type="dxa"/>
            <w:vAlign w:val="bottom"/>
          </w:tcPr>
          <w:p>
            <w:pPr>
              <w:spacing w:after="0"/>
              <w:rPr>
                <w:sz w:val="16"/>
                <w:szCs w:val="16"/>
                <w:color w:val="auto"/>
              </w:rPr>
            </w:pPr>
          </w:p>
        </w:tc>
        <w:tc>
          <w:tcPr>
            <w:tcW w:w="178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To Colgate-Palmolive</w:t>
            </w:r>
          </w:p>
        </w:tc>
        <w:tc>
          <w:tcPr>
            <w:tcW w:w="12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Diluted Earnings</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Taxes</w:t>
            </w:r>
          </w:p>
        </w:tc>
        <w:tc>
          <w:tcPr>
            <w:tcW w:w="1300" w:type="dxa"/>
            <w:vAlign w:val="bottom"/>
            <w:gridSpan w:val="3"/>
          </w:tcPr>
          <w:p>
            <w:pPr>
              <w:ind w:left="4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Interests</w:t>
            </w:r>
          </w:p>
        </w:tc>
        <w:tc>
          <w:tcPr>
            <w:tcW w:w="120" w:type="dxa"/>
            <w:vAlign w:val="bottom"/>
          </w:tcPr>
          <w:p>
            <w:pPr>
              <w:spacing w:after="0"/>
              <w:rPr>
                <w:sz w:val="19"/>
                <w:szCs w:val="19"/>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Company</w:t>
            </w:r>
          </w:p>
        </w:tc>
        <w:tc>
          <w:tcPr>
            <w:tcW w:w="160" w:type="dxa"/>
            <w:vAlign w:val="bottom"/>
          </w:tcPr>
          <w:p>
            <w:pPr>
              <w:spacing w:after="0"/>
              <w:rPr>
                <w:sz w:val="19"/>
                <w:szCs w:val="19"/>
                <w:color w:val="auto"/>
              </w:rPr>
            </w:pPr>
          </w:p>
        </w:tc>
        <w:tc>
          <w:tcPr>
            <w:tcW w:w="1120" w:type="dxa"/>
            <w:vAlign w:val="bottom"/>
          </w:tcPr>
          <w:p>
            <w:pPr>
              <w:jc w:val="right"/>
              <w:ind w:right="130"/>
              <w:spacing w:after="0" w:line="230" w:lineRule="exact"/>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matter</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Global Productivity</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Initiative</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recall costs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income tax effect on non-GAAP items is calculated based upon the tax laws and statutory income tax rates applicable in the tax jurisdiction(s) of the underlying non-GAAP adjustment.</w:t>
      </w:r>
    </w:p>
    <w:p>
      <w:pPr>
        <w:spacing w:after="0" w:line="3" w:lineRule="exact"/>
        <w:rPr>
          <w:rFonts w:ascii="Times New Roman" w:cs="Times New Roman" w:eastAsia="Times New Roman" w:hAnsi="Times New Roman"/>
          <w:sz w:val="22"/>
          <w:szCs w:val="22"/>
          <w:color w:val="auto"/>
          <w:vertAlign w:val="superscript"/>
        </w:rPr>
      </w:pPr>
    </w:p>
    <w:p>
      <w:pPr>
        <w:ind w:left="180" w:hanging="172"/>
        <w:spacing w:after="0" w:line="189" w:lineRule="auto"/>
        <w:tabs>
          <w:tab w:leader="none" w:pos="18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impact of non-GAAP adjustments on diluted earnings per share may not necessarily equal the difference between “GAAP” and “non-GAAP” as a result of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Implementation Charges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27, 2022, the Board approved the 2022 Global Productivity Initiative. All initiatives under the program have been implemented as of the third quarter of 2024 and the Company expects to incur the remaining charges by the end of 2024. The 2022 Global Productivity Initiative resulted in the reallocation of resources towards the Company’s strategic priorities and faster growth businesses, efficiencies in the Company’s operations and the streamlining of its supply chain to reduce structural costs.</w:t>
      </w:r>
    </w:p>
    <w:p>
      <w:pPr>
        <w:spacing w:after="0" w:line="20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Total pretax charges from the implementation of the 2022 Global Productivity Initiative are expected to be approximately $225 ($180 aftertax), once all the charges are recorded, which is comprised of the following categories: employee-related costs, including severance, pension and other termination benefits (80%); asset-related costs, primarily accelerated depreciation and asset write-downs (5%); and other charges (15%), which include contract termination costs, consisting primarily of implementation-related charges resulting directly from exit activities and the implementation of new strategies. It is expected that approximately 80% of the charges will result in cash expenditures.</w:t>
      </w:r>
    </w:p>
    <w:p>
      <w:pPr>
        <w:spacing w:after="0" w:line="2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annualized pretax savings from the 2022 Global Productivity Initiative are expected to be approximately $125 ($100 aftertax). Savings achieved since the implementation of the 2022 Global Productivity Initiative were approximately $115 pretax ($91 aftertax).</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charges resulting from the 2022 Global Productivity Initiative were $15 pretax ($13 aftertax). For the three months ended September 30, 2023, charges resulting from the 2022 Global Productivity Initiative were $2 pretax ($2 aftertax).</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September 30, 2023, charges resulting from the 2022 Global Productivity Initiative are reflected in the income statement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00" w:type="dxa"/>
            <w:vAlign w:val="bottom"/>
            <w:tcBorders>
              <w:bottom w:val="single" w:sz="8" w:color="auto"/>
            </w:tcBorders>
          </w:tcPr>
          <w:p>
            <w:pPr>
              <w:spacing w:after="0"/>
              <w:rPr>
                <w:sz w:val="20"/>
                <w:szCs w:val="20"/>
                <w:color w:val="auto"/>
              </w:rPr>
            </w:pPr>
          </w:p>
        </w:tc>
      </w:tr>
      <w:tr>
        <w:trPr>
          <w:trHeight w:val="223"/>
        </w:trPr>
        <w:tc>
          <w:tcPr>
            <w:tcW w:w="8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w:t>
            </w:r>
          </w:p>
        </w:tc>
        <w:tc>
          <w:tcPr>
            <w:tcW w:w="720" w:type="dxa"/>
            <w:vAlign w:val="bottom"/>
          </w:tcPr>
          <w:p>
            <w:pPr>
              <w:spacing w:after="0"/>
              <w:rPr>
                <w:sz w:val="19"/>
                <w:szCs w:val="19"/>
                <w:color w:val="auto"/>
              </w:rPr>
            </w:pPr>
          </w:p>
        </w:tc>
        <w:tc>
          <w:tcPr>
            <w:tcW w:w="2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Total 2022</w:t>
            </w:r>
          </w:p>
        </w:tc>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Productivity Initiative charges, pretax</w:t>
            </w: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0" w:type="dxa"/>
            <w:vAlign w:val="bottom"/>
            <w:tcBorders>
              <w:bottom w:val="single" w:sz="8" w:color="CCEEFF"/>
            </w:tcBorders>
          </w:tcPr>
          <w:p>
            <w:pPr>
              <w:spacing w:after="0"/>
              <w:rPr>
                <w:sz w:val="17"/>
                <w:szCs w:val="17"/>
                <w:color w:val="auto"/>
              </w:rPr>
            </w:pPr>
          </w:p>
        </w:tc>
        <w:tc>
          <w:tcPr>
            <w:tcW w:w="47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48"/>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Total 2022</w:t>
            </w:r>
          </w:p>
        </w:tc>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Productivity Initiative charges, aftertax</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Restructuring and related implementation charges are recorded in the Corporate segment as these initiatives are predominantly centrally directed and controlled and are not included in internal measures of segment operating performance.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charges incurred for the 2022 Global Productivity Initiative relate to initiatives undertaken by the following reportable operating segments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422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Program-to-date Accumulated</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22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vMerge w:val="restart"/>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0" w:type="dxa"/>
            <w:vAlign w:val="bottom"/>
          </w:tcPr>
          <w:p>
            <w:pPr>
              <w:spacing w:after="0"/>
              <w:rPr>
                <w:sz w:val="1"/>
                <w:szCs w:val="1"/>
                <w:color w:val="auto"/>
              </w:rPr>
            </w:pPr>
          </w:p>
        </w:tc>
      </w:tr>
      <w:tr>
        <w:trPr>
          <w:trHeight w:val="92"/>
        </w:trPr>
        <w:tc>
          <w:tcPr>
            <w:tcW w:w="350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560" w:type="dxa"/>
            <w:vAlign w:val="bottom"/>
            <w:gridSpan w:val="3"/>
          </w:tcPr>
          <w:p>
            <w:pPr>
              <w:jc w:val="right"/>
              <w:ind w:right="18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560" w:type="dxa"/>
            <w:vAlign w:val="bottom"/>
            <w:gridSpan w:val="3"/>
          </w:tcPr>
          <w:p>
            <w:pPr>
              <w:jc w:val="right"/>
              <w:ind w:right="18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Africa/Eurasia</w:t>
            </w:r>
          </w:p>
        </w:tc>
        <w:tc>
          <w:tcPr>
            <w:tcW w:w="2560" w:type="dxa"/>
            <w:vAlign w:val="bottom"/>
            <w:gridSpan w:val="3"/>
            <w:shd w:val="clear" w:color="auto" w:fill="CCEEFF"/>
          </w:tcPr>
          <w:p>
            <w:pPr>
              <w:jc w:val="right"/>
              <w:ind w:right="18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Hill’s Pet Nutrition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Since the inception of the 2022 Global Productivity Initiative, the Company has incurred cumulative pretax charges of $220 ($178 aftertax) in connection with the implementation of various projects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2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Cumulative Charges</w:t>
            </w:r>
          </w:p>
        </w:tc>
      </w:tr>
      <w:tr>
        <w:trPr>
          <w:trHeight w:val="238"/>
        </w:trPr>
        <w:tc>
          <w:tcPr>
            <w:tcW w:w="65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Depreciation</w:t>
            </w:r>
          </w:p>
        </w:tc>
        <w:tc>
          <w:tcPr>
            <w:tcW w:w="76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760" w:type="dxa"/>
            <w:vAlign w:val="bottom"/>
            <w:shd w:val="clear" w:color="auto" w:fill="CCEEFF"/>
          </w:tcPr>
          <w:p>
            <w:pPr>
              <w:spacing w:after="0"/>
              <w:rPr>
                <w:sz w:val="19"/>
                <w:szCs w:val="19"/>
                <w:color w:val="auto"/>
              </w:rPr>
            </w:pP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restructuring and related implementation charges discussed above and the related accruals: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Employee-Related</w:t>
            </w:r>
          </w:p>
        </w:tc>
        <w:tc>
          <w:tcPr>
            <w:tcW w:w="180" w:type="dxa"/>
            <w:vAlign w:val="bottom"/>
          </w:tcPr>
          <w:p>
            <w:pPr>
              <w:spacing w:after="0"/>
              <w:rPr>
                <w:sz w:val="14"/>
                <w:szCs w:val="14"/>
                <w:color w:val="auto"/>
              </w:rPr>
            </w:pPr>
          </w:p>
        </w:tc>
        <w:tc>
          <w:tcPr>
            <w:tcW w:w="1400" w:type="dxa"/>
            <w:vAlign w:val="bottom"/>
            <w:gridSpan w:val="2"/>
          </w:tcPr>
          <w:p>
            <w:pPr>
              <w:jc w:val="right"/>
              <w:ind w:right="360"/>
              <w:spacing w:after="0" w:line="169" w:lineRule="exact"/>
              <w:rPr>
                <w:sz w:val="20"/>
                <w:szCs w:val="20"/>
                <w:color w:val="auto"/>
              </w:rPr>
            </w:pPr>
            <w:r>
              <w:rPr>
                <w:rFonts w:ascii="Times New Roman" w:cs="Times New Roman" w:eastAsia="Times New Roman" w:hAnsi="Times New Roman"/>
                <w:sz w:val="18"/>
                <w:szCs w:val="18"/>
                <w:b w:val="1"/>
                <w:bCs w:val="1"/>
                <w:color w:val="auto"/>
              </w:rPr>
              <w:t>Incremental</w:t>
            </w:r>
          </w:p>
        </w:tc>
        <w:tc>
          <w:tcPr>
            <w:tcW w:w="200" w:type="dxa"/>
            <w:vAlign w:val="bottom"/>
          </w:tcPr>
          <w:p>
            <w:pPr>
              <w:spacing w:after="0"/>
              <w:rPr>
                <w:sz w:val="14"/>
                <w:szCs w:val="14"/>
                <w:color w:val="auto"/>
              </w:rPr>
            </w:pPr>
          </w:p>
        </w:tc>
        <w:tc>
          <w:tcPr>
            <w:tcW w:w="1420" w:type="dxa"/>
            <w:vAlign w:val="bottom"/>
            <w:gridSpan w:val="2"/>
          </w:tcPr>
          <w:p>
            <w:pPr>
              <w:ind w:left="360"/>
              <w:spacing w:after="0" w:line="169" w:lineRule="exact"/>
              <w:rPr>
                <w:sz w:val="20"/>
                <w:szCs w:val="20"/>
                <w:color w:val="auto"/>
              </w:rPr>
            </w:pPr>
            <w:r>
              <w:rPr>
                <w:rFonts w:ascii="Times New Roman" w:cs="Times New Roman" w:eastAsia="Times New Roman" w:hAnsi="Times New Roman"/>
                <w:sz w:val="18"/>
                <w:szCs w:val="18"/>
                <w:b w:val="1"/>
                <w:bCs w:val="1"/>
                <w:color w:val="auto"/>
              </w:rPr>
              <w:t>Asset</w:t>
            </w:r>
          </w:p>
        </w:tc>
        <w:tc>
          <w:tcPr>
            <w:tcW w:w="4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8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0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48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against assets</w:t>
            </w:r>
          </w:p>
        </w:tc>
        <w:tc>
          <w:tcPr>
            <w:tcW w:w="18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7" w:name="page48"/>
    <w:bookmarkEnd w:id="47"/>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Employee-Related Costs primarily include severance and other termination benefits and are calculated based on long-standing benefit practices, written severance policies, local statutory requirements and, in certain cases, voluntary termination arrangements. Employee-Related Costs also include pension enhancements, which are reflected as Charges against assets within Employee-Related Costs in the preceding table, as the corresponding balance sheet amounts are reflected as a reduction of pension assets or an increase in pension liabilities. For the nine months ended September 30, 2024, there were no pension enhancements included in Charges against assets within Employee-Related Costs.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Incremental Depreciation is recorded to reflect changes in useful lives and estimated residual values for long-lived assets that will be taken out of service prior to the end of their normal service period. Asset Impairments are recorded to write down inventories and assets held for sale or disposal to their fair value based on amounts expected to be realized. Charges against assets within Asset Impairments are net of cash proceeds pertaining to the sale of certain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48" w:name="page49"/>
    <w:bookmarkEnd w:id="48"/>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Financial Measures</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discusses certain financial measures on both a GAAP and a non-GAAP basis. The Company uses the non-GAAP financial measures described below internally in its budgeting process, to evaluate segment and overall operating performance and as a factor in determining compensation. The Company believes that these non-GAAP financial measures are useful in evaluating the Company’s underlying business performance and trends; however, this information should be considered as supplemental in nature and is not meant to be considered in isolation or as a substitute for the related financial information prepared in accordance with GAAP. In addition, these non-GAAP financial measures may not be the same as similar measures presented by other companies.</w: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sales growth (GAAP) and organic sales growth (Net sales growth excluding the impact of foreign exchange, acquisitions and divestments) (non-GAAP) are discussed in this Quarterly Report on Form 10-Q. Management believes the organic sales growth measure provides investors and analysts with useful supplemental information regarding the Company’s underlying sales trends by presenting sales growth excluding the external factor of foreign exchange, as well as the impact of acquisitions and divestments, as applicable. A reconciliation of organic sales growth to Net sales growth for the three and nine months ended September 30, 2024 is provided below.</w:t>
      </w:r>
    </w:p>
    <w:p>
      <w:pPr>
        <w:spacing w:after="0" w:line="21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Gross Profit, Gross Profit margin, Selling, general and administrative expenses, Other (income) expense, net, Operating profit, Operating profit margin, Non-service related postretirement costs, Effective income tax rate, Net income attributable to Colgate-Palmolive Company and Earnings per share on a diluted basis are discussed in this Quarterly Report on Form 10-Q both on a GAAP basis and excluding, as applicable, charges resulting from the ERISA litigation matter, the foreign tax matter and the 2022 Global Productivity Initiative and product recall costs. These non-GAAP financial measures exclude items that, either by their nature or amount, management would not expect to occur as part of the Company’s normal business on a regular basis, such as restructuring charges, charges for certain litigation and tax matters, acquisition-related costs, gains and losses from certain divestitures and certain other unusual, non-recurring items. Investors and analysts use these financial measures in assessing the Company’s business performance, and management believes that presenting these financial measures on a non-GAAP basis provides them with useful supplemental information to enhance their understanding of the Company’s underlying business performance and trends. These non-GAAP financial measures also enhance the ability to compare period-to-period financial results. A reconciliation of each of these non-GAAP financial measures to the most directly comparable GAAP financial measures for the three and nine months ended September 30, 2024 and 2023 is presented within the applicable section of Results of Operations.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provide a quantitative reconciliation of Net sales growth to organic sales growth for the three and nine months ended September 30,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23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Net Sales Growth</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Acquisitions and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0" w:type="dxa"/>
            <w:vAlign w:val="bottom"/>
          </w:tcPr>
          <w:p>
            <w:pPr>
              <w:spacing w:after="0"/>
              <w:rPr>
                <w:sz w:val="1"/>
                <w:szCs w:val="1"/>
                <w:color w:val="auto"/>
              </w:rPr>
            </w:pPr>
          </w:p>
        </w:tc>
      </w:tr>
      <w:tr>
        <w:trPr>
          <w:trHeight w:val="175"/>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300" w:type="dxa"/>
            <w:vAlign w:val="bottom"/>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Exchange</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Divestments</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Sales Growth</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vMerge w:val="continue"/>
          </w:tcPr>
          <w:p>
            <w:pPr>
              <w:spacing w:after="0"/>
              <w:rPr>
                <w:sz w:val="21"/>
                <w:szCs w:val="21"/>
                <w:color w:val="auto"/>
              </w:rPr>
            </w:pPr>
          </w:p>
        </w:tc>
        <w:tc>
          <w:tcPr>
            <w:tcW w:w="2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3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14.2%</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color w:val="auto"/>
                <w:vertAlign w:val="superscript"/>
              </w:rPr>
              <w:t>(1)</w:t>
            </w:r>
          </w:p>
        </w:tc>
        <w:tc>
          <w:tcPr>
            <w:tcW w:w="2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3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6.3%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23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4.8%</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3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23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6.3%</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30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Table may not sum due to rounding.</w:t>
      </w:r>
    </w:p>
    <w:p>
      <w:pPr>
        <w:spacing w:after="0" w:line="233"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has recast its historical geographic segment information to conform to the reporting structure effective as of July 1, 2024.</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48"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30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Net Sales Growth</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Acquisitions and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0" w:type="dxa"/>
            <w:vAlign w:val="bottom"/>
          </w:tcPr>
          <w:p>
            <w:pPr>
              <w:spacing w:after="0"/>
              <w:rPr>
                <w:sz w:val="1"/>
                <w:szCs w:val="1"/>
                <w:color w:val="auto"/>
              </w:rPr>
            </w:pPr>
          </w:p>
        </w:tc>
      </w:tr>
      <w:tr>
        <w:trPr>
          <w:trHeight w:val="176"/>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300" w:type="dxa"/>
            <w:vAlign w:val="bottom"/>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Exchange</w:t>
            </w: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Divestments</w:t>
            </w: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Sales Growth</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auto"/>
            </w:tcBorders>
            <w:vMerge w:val="continue"/>
          </w:tcPr>
          <w:p>
            <w:pPr>
              <w:spacing w:after="0"/>
              <w:rPr>
                <w:sz w:val="21"/>
                <w:szCs w:val="21"/>
                <w:color w:val="auto"/>
              </w:rPr>
            </w:pPr>
          </w:p>
        </w:tc>
        <w:tc>
          <w:tcPr>
            <w:tcW w:w="23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3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3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color w:val="auto"/>
                <w:vertAlign w:val="superscript"/>
              </w:rPr>
              <w:t>(1)</w:t>
            </w:r>
          </w:p>
        </w:tc>
        <w:tc>
          <w:tcPr>
            <w:tcW w:w="23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8.6%</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3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23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0.7%</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(13.8)%</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3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9.3%</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23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5.2%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5.6%</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3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4.5%</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Table may not sum due to rounding.</w:t>
      </w:r>
    </w:p>
    <w:p>
      <w:pPr>
        <w:spacing w:after="0" w:line="233"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has recast its historical geographic segment information to conform to the reporting structure effective as of July 1, 2024.</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5"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expects cash flow from operations and debt issuances will be sufficient to meet foreseeable business operating and recurring cash needs (including for debt service, dividends, capital expenditures, share repurchases and acquisitions). The Company believes its strong cash generation and financial position should continue to allow it broad access to global credit and capital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Net cash provided by operations increased 9% to $2,838 in the first nine months of 2024, compared to $2,609 in the first nine months of 2023, primarily due to higher net income, partially offset by changes in working capital. The Company’s working capital was (3.6%) as a percentage of Net sales as of September 30, 2024 as compared to (2.1%) as of September 30, 2023. The Company defines working capital as the difference between current assets (excluding Cash and cash equivalents and marketable securities, the latter of which is reported in Other current assets) and current liabilities (excluding short-term debt).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 used $454 of cash in the first nine months of 2024, compared to $599 in the first nine months of 2023.</w:t>
      </w:r>
    </w:p>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Capital expenditures were $377 in the first nine months of 2024 compared to $508 in the first nine months of 2023. Capital expenditures for 2024 are expected to be approximately 3.0% of Net sales. The Company continues to focus its capital spending on projects that are expected to yield high aftertax returns.</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Financing activities used $2,110 of cash during the first nine months of 2024, compared to $1,801 used in the first nine months of 2023. The increase in cash used was primarily due to higher share repurchases, partially offset by higher proceeds from the exercise of stock options.</w:t>
      </w:r>
    </w:p>
    <w:p>
      <w:pPr>
        <w:spacing w:after="0" w:line="189"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Long-term debt, including the current portion, decreased to $7,929 as of September 30, 2024, as compared to $8,239 as of December 31, 2023 and total debt was $8,436 as of September 30, 2024, as compared to $8,549 as of December 31, 2023. During the first quarter of 2024, the Company redeemed at maturity $500 of ten-year Medium-Term Notes with a fixed coupon of 3.25%. The redemption was financed with commercial paper borrowings.</w:t>
      </w:r>
    </w:p>
    <w:p>
      <w:pPr>
        <w:spacing w:after="0" w:line="18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Domestic and foreign commercial paper outstanding was $1,282 and $906 as of September 30, 2024 and December 31, 2023, respectively. The average daily balances outstanding for commercial paper in the first nine months of 2024 and 2023 were $1,754 and $1,886, respectively. The Company classifies commercial paper and certain current maturities of notes payable as long-term debt when it has the intent and ability to refinance such obligations on a long-term basis, including, if necessary, by utilizing its unused lines of credit or by issuing long-term debt pursuant to an effective shelf registration statement.</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of the agreements with respect to the Company’s bank borrowings contain financial and other covenants as well as cross-default provisions. Noncompliance with these requirements could ultimately result in the acceleration of amounts owed. The Company is in full compliance with all such requirements and believes the likelihood of noncompliance is remote. Refer to Note 6, Long Term Debt and Credit Facilities to the Consolidated Financial Statements contained in the Company’s Annual Report on Form 10-K for the year ended December 31, 2023 for further information about the Company’s long-term debt and credit facilities.</w:t>
      </w:r>
    </w:p>
    <w:p>
      <w:pPr>
        <w:spacing w:after="0" w:line="2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first quarter of 2024, the Company increased the quarterly common stock dividend to $0.50 per share from $0.48 per share previously, effective in the second quarter of 2024.</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$268 during the first nine months of 2024 to $1,234 at September 30, 2024, compared to $966 at December 31, 2023, the majority of which ($1,182 and $922, respectively) was held by the Company’s foreign subsidiaries.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liquidity and capital resources, refer to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the annual indefinite-lived impairment test, the fair value of one of the Company’s indefinite-lived trademarks continues to approximate its carrying value.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Given the inherent uncertainties of estimating the future cash flows, the impact of interest rates and inflation on macroeconomic conditions, actual results may differ from management's current estimates which could potentially result in impairment charges in future periods.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52" w:name="page53"/>
    <w:bookmarkEnd w:id="52"/>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Share Information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uses market share information as a key indicator to monitor business health and performance. References to market share in this Quarterly Report on Form 10-Q are based on a combination of consumption and market share data provided by third-party vendors, primarily Nielsen, and internal estimates. All market share references represent the percentage of the dollar value of sales of our products, relative to all product sales in the category in the countries in which the Company competes and purchases data (excluding Venezuela from all periods).</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Market share data is subject to limitations on the availability of up-to-date information. In particular, market share data is currently not generally available for certain retail channels, such as eCommerce or certain discounters. The Company measures year-to-date market shares from January 1 of the relevant year through the most recent period for which market share data is available, which typically reflects a lag time of one or two months. The Company believes that the third-party vendors we use to provide data are reliable, but we have not verified the accuracy or completeness of the data or any assumptions underlying the data. In addition, market share information calculated by the Company may be different from market share information calculated by other companies due to differences in category definitions, the use of data from different countries, internal estimates and other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25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as that term is defined in the Private Securities Litigation Reform Act of 1995 or by the SEC in its rules, regulations and releases that set forth anticipated results based on management’s current plans and assumptions. Such statements may relate, for example, to sales or volume growth, net selling price increases, organic sales growth, profit or profit margin levels, earnings per share levels, financial goals, the impact of foreign exchange, the impact of geopolitical conflicts and tensions, such as the wars in Ukraine and the Middle East and tensions between China and Taiwan, cost-reduction plans (including the 2022 Global Productivity Initiative), tax rates, interest rates, new product introductions, digital capabilities, commercial investment levels, acquisitions, divestitures, share repurchases or legal or tax proceedings, among other matters. These statements are made on the basis of the Company’s views and assumptions as of this time and the Company undertakes no obligation to update these statements whether as a result of new information, future events or otherwise, except as required by law or by the rules and regulations of the SEC. Moreover, the Company does not, nor does any other person, assume responsibility for the accuracy and completeness of those statements. The Company cautions investors that any such forward-looking statements are not guarantees of future performance and that actual events or results may differ materially from those statements. Actual events or results may differ materially because of factors that affect international businesses and global economic conditions, as well as matters specific to the Company and the markets it serves, including the uncertain macroeconomic and political environment in different countries, including as a result of inflation and higher interest rates, and its effect on consumer confidence and spending, foreign currency rate fluctuations, exchange controls, import restrictions, tariffs, sanctions, price or profit controls, labor relations, changes in foreign or domestic laws, or regulations or their interpretation, political and fiscal developments, including changes in trade, tax and immigration policies, increased competition and evolving competitive practices (including from the growth of eCommerce and the entry of new competitors and business models), the ability to operate and respond effectively during a pandemic, epidemic or widespread public health concern, the ability to manage disruptions in our global supply chain and/or key office facilities, the ability to manage the availability and cost of raw and packaging materials and logistics costs, the ability to maintain or increase selling prices as needed, changes in the policies of retail trade customers, the emergence of alternative retail channels, the growth of eCommerce and the rapidly changing retail landscape (as consumers increasingly shop online and through mobile applications), the ability to develop innovative new products, the ability to continue lowering costs and operate in an agile manner, the ability to maintain the security of our information and operational technology systems from a cybersecurity incident or data breach, the ability to address the effects of climate change and achieve our sustainability and social impact goals, the ability to complete acquisitions and divestitures as planned, the ability to successfully integrate acquired businesses, the ability to attract and retain key employees and integrate DE&amp;I initiatives across our organization, the uncertainty of the outcome of legal proceedings, whether or not the Company believes they have merit, and the ability to address uncertain or unfavorable global economic conditions, including inflation, disruptions in the credit markets and tax matters. For information about these and other factors that could impact the Company’s business and cause actual results to differ materially from forward-looking statements, refer to the Company’s filings with the SEC (including, but not limited to, the information set forth under the captions “Risk Factors” and “Cautionary Statement on Forward-Looking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(Dollars in Millions Except Per Share Amounts)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in the Company’s Annual Report on Form 10-K for the year ended December 31, 2023 and subsequent filings with the SEC).</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material change in the information reported under Part II, Item 7, “Managing Foreign Currency, Interest Rate, Commodity Price and Credit Risk Exposure” contained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7" w:right="699" w:bottom="1440" w:gutter="0" w:footer="0" w:header="0"/>
        </w:sectPr>
      </w:pPr>
    </w:p>
    <w:bookmarkStart w:id="54" w:name="page55"/>
    <w:bookmarkEnd w:id="5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Company’s Chairman of the Board, President and Chief Executive Officer and Chief Financial Officer, carried out an evaluation of the effectiveness of the design and operation of the Company’s disclosure controls and procedures as of September 30, 2024 (the “Evaluation”). Based upon the Evaluation, the Company’s Chairman of the Board, President and Chief Executive Officer and Chief Financial Officer concluded that the Company’s disclosure controls and procedures (as defined in Rule 13a-15(e) of the Securities Exchange Act of 1934) are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is in the process of upgrading its enterprise IT system to SAP S/4 HANA. This change has not had and is not expected to have a material impact on the Company’s internal controls over financial reporting.</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Except as noted above, there were no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u w:val="single" w:color="auto"/>
          <w:color w:val="auto"/>
        </w:rPr>
        <w:t>PART II.</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information regarding legal matters, refer to Note 9, Contingencies to the Condensed Consolidated Financial Statements contained in Part I of this Quarterly Report on Form 10-Q, which is incorporated herein by reference.</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Item 1A.</w:t>
        <w:tab/>
        <w:t>Risk Factors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“Risk Factors” in Part 1, Item 1A of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56" w:name="page57"/>
    <w:bookmarkEnd w:id="56"/>
    <w:p>
      <w:pPr>
        <w:spacing w:after="0" w:line="13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Unregistered Sales of Equity Securities and Use of Proceeds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March 10, 2022, the Board authorized the repurchase of shares of the Company’s common stock having an aggregate purchase price of up to $5 billion under a new share repurchase program (the “2022 Program”), which replaced a previously authorized share repurchase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stock repurchase activity for the three months in the quarter ended September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20" w:type="dxa"/>
            <w:vAlign w:val="bottom"/>
          </w:tcPr>
          <w:p>
            <w:pPr>
              <w:spacing w:after="0"/>
              <w:rPr>
                <w:sz w:val="17"/>
                <w:szCs w:val="17"/>
                <w:color w:val="auto"/>
              </w:rPr>
            </w:pP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40" w:type="dxa"/>
            <w:vAlign w:val="bottom"/>
          </w:tcPr>
          <w:p>
            <w:pPr>
              <w:spacing w:after="0"/>
              <w:rPr>
                <w:sz w:val="16"/>
                <w:szCs w:val="16"/>
                <w:color w:val="auto"/>
              </w:rPr>
            </w:pPr>
          </w:p>
        </w:tc>
        <w:tc>
          <w:tcPr>
            <w:tcW w:w="1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jc w:val="center"/>
              <w:ind w:right="72"/>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jc w:val="center"/>
              <w:ind w:right="72"/>
              <w:spacing w:after="0" w:line="176" w:lineRule="exact"/>
              <w:rPr>
                <w:sz w:val="20"/>
                <w:szCs w:val="20"/>
                <w:color w:val="auto"/>
              </w:rPr>
            </w:pPr>
            <w:r>
              <w:rPr>
                <w:rFonts w:ascii="Times New Roman" w:cs="Times New Roman" w:eastAsia="Times New Roman" w:hAnsi="Times New Roman"/>
                <w:sz w:val="16"/>
                <w:szCs w:val="16"/>
                <w:b w:val="1"/>
                <w:bCs w:val="1"/>
                <w:color w:val="auto"/>
              </w:rPr>
              <w:t>Plans or Programs</w:t>
            </w:r>
            <w:r>
              <w:rPr>
                <w:rFonts w:ascii="Times New Roman" w:cs="Times New Roman" w:eastAsia="Times New Roman" w:hAnsi="Times New Roman"/>
                <w:sz w:val="20"/>
                <w:szCs w:val="20"/>
                <w:b w:val="1"/>
                <w:bCs w:val="1"/>
                <w:color w:val="auto"/>
                <w:vertAlign w:val="superscript"/>
              </w:rPr>
              <w:t>(3)</w:t>
            </w:r>
          </w:p>
        </w:tc>
        <w:tc>
          <w:tcPr>
            <w:tcW w:w="0" w:type="dxa"/>
            <w:vAlign w:val="bottom"/>
          </w:tcPr>
          <w:p>
            <w:pPr>
              <w:spacing w:after="0"/>
              <w:rPr>
                <w:sz w:val="1"/>
                <w:szCs w:val="1"/>
                <w:color w:val="auto"/>
              </w:rPr>
            </w:pPr>
          </w:p>
        </w:tc>
      </w:tr>
      <w:tr>
        <w:trPr>
          <w:trHeight w:val="229"/>
        </w:trPr>
        <w:tc>
          <w:tcPr>
            <w:tcW w:w="3240" w:type="dxa"/>
            <w:vAlign w:val="bottom"/>
            <w:gridSpan w:val="2"/>
            <w:vMerge w:val="continue"/>
          </w:tcPr>
          <w:p>
            <w:pPr>
              <w:spacing w:after="0"/>
              <w:rPr>
                <w:sz w:val="19"/>
                <w:szCs w:val="19"/>
                <w:color w:val="auto"/>
              </w:rPr>
            </w:pPr>
          </w:p>
        </w:tc>
        <w:tc>
          <w:tcPr>
            <w:tcW w:w="19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14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9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Plans or Programs</w:t>
            </w:r>
            <w:r>
              <w:rPr>
                <w:rFonts w:ascii="Times New Roman" w:cs="Times New Roman" w:eastAsia="Times New Roman" w:hAnsi="Times New Roman"/>
                <w:sz w:val="23"/>
                <w:szCs w:val="23"/>
                <w:b w:val="1"/>
                <w:bCs w:val="1"/>
                <w:color w:val="auto"/>
                <w:w w:val="97"/>
                <w:vertAlign w:val="superscript"/>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31, 2024</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through 31, 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30, 2024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1,400,800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2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2,870,776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180" w:right="20" w:hanging="172"/>
        <w:spacing w:after="0" w:line="234" w:lineRule="auto"/>
        <w:tabs>
          <w:tab w:leader="none" w:pos="183"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share repurchases under the 2022 Program and those associated with certain employee elections under the Company’s compensation and benefit programs.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tabs>
          <w:tab w:leader="none" w:pos="183"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difference between the total number of shares purchased and the total number of shares purchased as part of publicly announced plans or programs is 251,615 shares, which represents shares deemed surrendered to the Company to satisfy certain employee elections under the Company’s compensation and benefit programs.</w:t>
      </w:r>
    </w:p>
    <w:p>
      <w:pPr>
        <w:spacing w:after="0" w:line="2" w:lineRule="exact"/>
        <w:rPr>
          <w:rFonts w:ascii="Times New Roman" w:cs="Times New Roman" w:eastAsia="Times New Roman" w:hAnsi="Times New Roman"/>
          <w:sz w:val="22"/>
          <w:szCs w:val="22"/>
          <w:color w:val="auto"/>
          <w:vertAlign w:val="superscript"/>
        </w:rPr>
      </w:pPr>
    </w:p>
    <w:p>
      <w:pPr>
        <w:ind w:left="180" w:right="80" w:hanging="172"/>
        <w:spacing w:after="0" w:line="231" w:lineRule="auto"/>
        <w:tabs>
          <w:tab w:leader="none" w:pos="183"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approximate dollar value of shares that were available to be purchased under the publicly announced plans or programs that were in effect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u w:val="single" w:color="auto"/>
          <w:color w:val="auto"/>
        </w:rPr>
        <w:t>Item 5.</w:t>
        <w:tab/>
        <w:t>Other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Trading Plans</w:t>
      </w:r>
    </w:p>
    <w:p>
      <w:pPr>
        <w:spacing w:after="0" w:line="2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August 21, 2024, Noel R. Wallace, the Company’s Chairman, President and Chief Executive Officer, entered into a pre-arranged trading plan that is intended to satisfy the affirmative defense conditions of Rule 10b5-1(c) under the Securities Exchange Act of 1934 (the “10b5-1 Plan”). The 10b5-1 Plan provides for the sale, subject to certain price limits, of up to 100,000 shares of the Company’s common stock in the aggregate and terminates on May 23, 2025, unless terminated sooner in accordance with its terms. The 10b5-1 Plan was entered into during an open insider trading window and no sales will commence under the plan until completion of the required cooling off period under Rule 10b5-1.</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Mr. Wallace entered into the 10b5-1 Plan as part of his long-term asset diversification, tax and financial planning strategy. Assuming all shares subject to the 10b5-1 Plan are sold, Mr. Wallace will continue to be meaningfully invested in the Company’s stock and will continue to significantly exceed the Company’s rigorous stock ownership guidelines, which require Mr. Wallace to maintain stock ownership of at least eight times his annual base salary.</w:t>
      </w:r>
    </w:p>
    <w:p>
      <w:pPr>
        <w:spacing w:after="0" w:line="20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No other director or officer of the Company adopted, modified or terminated a “Rule 10b5-1 trading arrangement” or “non-Rule 10b5-1 trading arrangement,” as each term is defined in Item 408(a) of Regulation S-K, during the three months ended September 30, 2024.</w:t>
      </w: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58" w:name="page59"/>
    <w:bookmarkEnd w:id="5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40" w:type="dxa"/>
            <w:vAlign w:val="bottom"/>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COLGATE-PALMOLIVE COMPANY</w:t>
            </w:r>
          </w:p>
        </w:tc>
      </w:tr>
      <w:tr>
        <w:trPr>
          <w:trHeight w:val="661"/>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42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10-B</w:t>
            </w:r>
          </w:p>
        </w:tc>
        <w:tc>
          <w:tcPr>
            <w:tcW w:w="98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of Nonqualified Option Award Agreement used in connection with grants under the Colgate-Palmolive Company 2019 Incentive</w:t>
            </w:r>
          </w:p>
        </w:tc>
      </w:tr>
      <w:tr>
        <w:trPr>
          <w:trHeight w:val="190"/>
        </w:trPr>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700" w:type="dxa"/>
            <w:vAlign w:val="bottom"/>
            <w:tcBorders>
              <w:top w:val="single" w:sz="8" w:color="0000FF"/>
            </w:tcBorders>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Compensation Plan.* **</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70"/>
        </w:trPr>
        <w:tc>
          <w:tcPr>
            <w:tcW w:w="1420" w:type="dxa"/>
            <w:vAlign w:val="bottom"/>
            <w:tcBorders>
              <w:top w:val="single" w:sz="8" w:color="CCEEFF"/>
            </w:tcBorders>
            <w:gridSpan w:val="4"/>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57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189"/>
        </w:trPr>
        <w:tc>
          <w:tcPr>
            <w:tcW w:w="142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10-C</w:t>
            </w:r>
          </w:p>
        </w:tc>
        <w:tc>
          <w:tcPr>
            <w:tcW w:w="98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Form of Restricted Stock Unit Award Agreement used in connection with grants under the Colgate-Palmolive Company 2019 Incentive</w:t>
            </w:r>
          </w:p>
        </w:tc>
      </w:tr>
      <w:tr>
        <w:trPr>
          <w:trHeight w:val="189"/>
        </w:trPr>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760" w:type="dxa"/>
            <w:vAlign w:val="bottom"/>
            <w:tcBorders>
              <w:top w:val="single" w:sz="8" w:color="0000FF"/>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Compensation Plan.* **</w:t>
            </w:r>
          </w:p>
        </w:tc>
        <w:tc>
          <w:tcPr>
            <w:tcW w:w="40" w:type="dxa"/>
            <w:vAlign w:val="bottom"/>
            <w:tcBorders>
              <w:top w:val="single" w:sz="8" w:color="CCEEFF"/>
            </w:tcBorders>
            <w:shd w:val="clear" w:color="auto" w:fill="CCEEFF"/>
          </w:tcPr>
          <w:p>
            <w:pPr>
              <w:spacing w:after="0"/>
              <w:rPr>
                <w:sz w:val="16"/>
                <w:szCs w:val="16"/>
                <w:color w:val="auto"/>
              </w:rPr>
            </w:pPr>
          </w:p>
        </w:tc>
      </w:tr>
      <w:tr>
        <w:trPr>
          <w:trHeight w:val="270"/>
        </w:trPr>
        <w:tc>
          <w:tcPr>
            <w:tcW w:w="1420" w:type="dxa"/>
            <w:vAlign w:val="bottom"/>
            <w:tcBorders>
              <w:top w:val="single" w:sz="8" w:color="CCEEFF"/>
            </w:tcBorders>
            <w:gridSpan w:val="4"/>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57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189"/>
        </w:trPr>
        <w:tc>
          <w:tcPr>
            <w:tcW w:w="142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31-A</w:t>
            </w:r>
          </w:p>
        </w:tc>
        <w:tc>
          <w:tcPr>
            <w:tcW w:w="98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Certificate of the Chairman of the Board, President and Chief Executive Officer of Colgate-Palmolive Company pursuant to Rule 13a-</w:t>
            </w:r>
          </w:p>
        </w:tc>
      </w:tr>
      <w:tr>
        <w:trPr>
          <w:trHeight w:val="190"/>
        </w:trPr>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14(a) under the Securities Exchange Act of 1934.**</w:t>
            </w:r>
          </w:p>
        </w:tc>
        <w:tc>
          <w:tcPr>
            <w:tcW w:w="120" w:type="dxa"/>
            <w:vAlign w:val="bottom"/>
            <w:tcBorders>
              <w:top w:val="single" w:sz="8" w:color="CCEEFF"/>
            </w:tcBorders>
            <w:gridSpan w:val="3"/>
            <w:shd w:val="clear" w:color="auto" w:fill="CCEEFF"/>
          </w:tcPr>
          <w:p>
            <w:pPr>
              <w:spacing w:after="0"/>
              <w:rPr>
                <w:sz w:val="16"/>
                <w:szCs w:val="16"/>
                <w:color w:val="auto"/>
              </w:rPr>
            </w:pPr>
          </w:p>
        </w:tc>
      </w:tr>
      <w:tr>
        <w:trPr>
          <w:trHeight w:val="229"/>
        </w:trPr>
        <w:tc>
          <w:tcPr>
            <w:tcW w:w="1420" w:type="dxa"/>
            <w:vAlign w:val="bottom"/>
            <w:tcBorders>
              <w:top w:val="single" w:sz="8" w:color="CCEEFF"/>
            </w:tcBorders>
            <w:gridSpan w:val="4"/>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1980" w:type="dxa"/>
            <w:vAlign w:val="bottom"/>
            <w:tcBorders>
              <w:top w:val="single" w:sz="8" w:color="0000FF"/>
            </w:tcBorders>
          </w:tcPr>
          <w:p>
            <w:pPr>
              <w:spacing w:after="0"/>
              <w:rPr>
                <w:sz w:val="19"/>
                <w:szCs w:val="19"/>
                <w:color w:val="auto"/>
              </w:rPr>
            </w:pPr>
          </w:p>
        </w:tc>
        <w:tc>
          <w:tcPr>
            <w:tcW w:w="57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r>
      <w:tr>
        <w:trPr>
          <w:trHeight w:val="189"/>
        </w:trPr>
        <w:tc>
          <w:tcPr>
            <w:tcW w:w="142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31-B</w:t>
            </w:r>
          </w:p>
        </w:tc>
        <w:tc>
          <w:tcPr>
            <w:tcW w:w="98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Certificate of the Chief Financial Officer of Colgate-Palmolive Company pursuant to Rule 13a-14(a) under the Securities Exchange</w:t>
            </w:r>
          </w:p>
        </w:tc>
      </w:tr>
      <w:tr>
        <w:trPr>
          <w:trHeight w:val="169"/>
        </w:trPr>
        <w:tc>
          <w:tcPr>
            <w:tcW w:w="5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480" w:type="dxa"/>
            <w:vAlign w:val="bottom"/>
            <w:tcBorders>
              <w:top w:val="single" w:sz="8" w:color="0000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Act of 1934.**</w:t>
            </w:r>
          </w:p>
        </w:tc>
        <w:tc>
          <w:tcPr>
            <w:tcW w:w="320" w:type="dxa"/>
            <w:vAlign w:val="bottom"/>
            <w:tcBorders>
              <w:top w:val="single" w:sz="8" w:color="CCEEFF"/>
            </w:tcBorders>
            <w:gridSpan w:val="4"/>
            <w:shd w:val="clear" w:color="auto" w:fill="CCEEFF"/>
          </w:tcPr>
          <w:p>
            <w:pPr>
              <w:spacing w:after="0"/>
              <w:rPr>
                <w:sz w:val="14"/>
                <w:szCs w:val="14"/>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1420" w:right="180" w:hanging="1394"/>
        <w:spacing w:after="0" w:line="250"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Certificate of the Chairman of the Board, President and Chief Executive Officer and the Chief Financial Officer of Colgate-Palmolive Company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15175" cy="266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197" w:lineRule="exact"/>
        <w:rPr>
          <w:sz w:val="20"/>
          <w:szCs w:val="20"/>
          <w:color w:val="auto"/>
        </w:rPr>
      </w:pPr>
    </w:p>
    <w:p>
      <w:pPr>
        <w:ind w:left="1420" w:right="20" w:hanging="1394"/>
        <w:spacing w:after="0" w:line="223"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Colgate-Palmolive Company’s Quarterly Report on Form 10-Q for the period ended September 30, 2024, formatted in Inline eXtensible Business Reporting Language (Inline XBRL): (i) the Condensed Consolidated Statements of Income; (ii) the Condensed Consolidated Statements of Comprehensive Income; (iii) the Condensed Consolidated Balance Sheets; (iv) the Condensed Consolidated Statements of Cash Flows; (v) Condensed Consolidated Statements of Changes in Shareholders’ Equity; and (vi)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15175" cy="6083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608330"/>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4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0060" w:type="dxa"/>
            <w:vAlign w:val="bottom"/>
          </w:tcPr>
          <w:p>
            <w:pPr>
              <w:spacing w:after="0"/>
              <w:rPr>
                <w:sz w:val="24"/>
                <w:szCs w:val="24"/>
                <w:color w:val="auto"/>
              </w:rPr>
            </w:pPr>
          </w:p>
        </w:tc>
      </w:tr>
    </w:tbl>
    <w:p>
      <w:pPr>
        <w:ind w:right="7060" w:firstLine="8"/>
        <w:spacing w:after="0" w:line="512" w:lineRule="auto"/>
        <w:tabs>
          <w:tab w:leader="none" w:pos="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COLGATE-PALMOLIVE COMPANY</w:t>
            </w:r>
          </w:p>
        </w:tc>
        <w:tc>
          <w:tcPr>
            <w:tcW w:w="1380" w:type="dxa"/>
            <w:vAlign w:val="bottom"/>
          </w:tcPr>
          <w:p>
            <w:pPr>
              <w:spacing w:after="0"/>
              <w:rPr>
                <w:sz w:val="17"/>
                <w:szCs w:val="17"/>
                <w:color w:val="auto"/>
              </w:rPr>
            </w:pPr>
          </w:p>
        </w:tc>
      </w:tr>
      <w:tr>
        <w:trPr>
          <w:trHeight w:val="250"/>
        </w:trPr>
        <w:tc>
          <w:tcPr>
            <w:tcW w:w="33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2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59"/>
        </w:trPr>
        <w:tc>
          <w:tcPr>
            <w:tcW w:w="3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October 25, 2024</w:t>
            </w:r>
          </w:p>
        </w:tc>
        <w:tc>
          <w:tcPr>
            <w:tcW w:w="2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/s/ Noel R. Wallace</w:t>
            </w:r>
          </w:p>
        </w:tc>
      </w:tr>
      <w:tr>
        <w:trPr>
          <w:trHeight w:val="218"/>
        </w:trPr>
        <w:tc>
          <w:tcPr>
            <w:tcW w:w="3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2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8"/>
              </w:rPr>
              <w:t>Noel R. Wallace</w:t>
            </w:r>
          </w:p>
        </w:tc>
      </w:tr>
      <w:tr>
        <w:trPr>
          <w:trHeight w:val="180"/>
        </w:trPr>
        <w:tc>
          <w:tcPr>
            <w:tcW w:w="3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20" w:type="dxa"/>
            <w:vAlign w:val="bottom"/>
            <w:gridSpan w:val="2"/>
          </w:tcPr>
          <w:p>
            <w:pPr>
              <w:jc w:val="center"/>
              <w:ind w:right="1380"/>
              <w:spacing w:after="0" w:line="181" w:lineRule="exact"/>
              <w:rPr>
                <w:sz w:val="20"/>
                <w:szCs w:val="20"/>
                <w:color w:val="auto"/>
              </w:rPr>
            </w:pPr>
            <w:r>
              <w:rPr>
                <w:rFonts w:ascii="Times New Roman" w:cs="Times New Roman" w:eastAsia="Times New Roman" w:hAnsi="Times New Roman"/>
                <w:sz w:val="18"/>
                <w:szCs w:val="18"/>
                <w:color w:val="auto"/>
                <w:w w:val="99"/>
              </w:rPr>
              <w:t>Chairman of the Board, President and</w:t>
            </w:r>
          </w:p>
        </w:tc>
      </w:tr>
      <w:tr>
        <w:trPr>
          <w:trHeight w:val="234"/>
        </w:trPr>
        <w:tc>
          <w:tcPr>
            <w:tcW w:w="3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468"/>
        </w:trPr>
        <w:tc>
          <w:tcPr>
            <w:tcW w:w="3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45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October 25, 2024</w:t>
            </w:r>
          </w:p>
        </w:tc>
        <w:tc>
          <w:tcPr>
            <w:tcW w:w="2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/s/ Stanley J. Sutula III</w:t>
            </w:r>
          </w:p>
        </w:tc>
      </w:tr>
      <w:tr>
        <w:trPr>
          <w:trHeight w:val="218"/>
        </w:trPr>
        <w:tc>
          <w:tcPr>
            <w:tcW w:w="3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rPr>
              <w:t>Stanley J. Sutula III</w:t>
            </w:r>
          </w:p>
        </w:tc>
      </w:tr>
      <w:tr>
        <w:trPr>
          <w:trHeight w:val="234"/>
        </w:trPr>
        <w:tc>
          <w:tcPr>
            <w:tcW w:w="3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459"/>
        </w:trPr>
        <w:tc>
          <w:tcPr>
            <w:tcW w:w="3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5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October 25, 2024</w:t>
            </w:r>
          </w:p>
        </w:tc>
        <w:tc>
          <w:tcPr>
            <w:tcW w:w="22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/s/ Gregory O. Malcolm</w:t>
            </w:r>
          </w:p>
        </w:tc>
      </w:tr>
      <w:tr>
        <w:trPr>
          <w:trHeight w:val="218"/>
        </w:trPr>
        <w:tc>
          <w:tcPr>
            <w:tcW w:w="3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rPr>
              <w:t>Gregory O. Malcolm</w:t>
            </w:r>
          </w:p>
        </w:tc>
      </w:tr>
      <w:tr>
        <w:trPr>
          <w:trHeight w:val="234"/>
        </w:trPr>
        <w:tc>
          <w:tcPr>
            <w:tcW w:w="3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Executive Vice President and Controller</w:t>
            </w:r>
          </w:p>
        </w:tc>
      </w:tr>
      <w:tr>
        <w:trPr>
          <w:trHeight w:val="905"/>
        </w:trPr>
        <w:tc>
          <w:tcPr>
            <w:tcW w:w="3380" w:type="dxa"/>
            <w:vAlign w:val="bottom"/>
          </w:tcPr>
          <w:p>
            <w:pPr>
              <w:spacing w:after="0"/>
              <w:rPr>
                <w:sz w:val="24"/>
                <w:szCs w:val="24"/>
                <w:color w:val="auto"/>
              </w:rPr>
            </w:pPr>
          </w:p>
        </w:tc>
        <w:tc>
          <w:tcPr>
            <w:tcW w:w="358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60</w:t>
            </w:r>
          </w:p>
        </w:tc>
        <w:tc>
          <w:tcPr>
            <w:tcW w:w="28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00"/>
          </w:cols>
          <w:pgMar w:left="320" w:top="1440" w:right="379" w:bottom="1440" w:gutter="0" w:footer="0" w:header="0"/>
        </w:sectPr>
      </w:pPr>
    </w:p>
    <w:bookmarkStart w:id="60" w:name="page61"/>
    <w:bookmarkEnd w:id="60"/>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10-B</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COLGATE-PALMOLIVE COMPANY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2019 INCENTIVE COMPENSATION PLAN</w:t>
      </w:r>
    </w:p>
    <w:p>
      <w:pPr>
        <w:spacing w:after="0" w:line="24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u w:val="single" w:color="auto"/>
          <w:color w:val="auto"/>
        </w:rPr>
        <w:t>NONQUALIFIED OPTION NOTICE OF GRANT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&lt;&lt;Title&gt;&gt; &lt;&lt;First Name&gt;&gt; &lt;&lt;Last Name&gt;&gt;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Colgate-Palmolive Company</w:t>
      </w:r>
    </w:p>
    <w:p>
      <w:pPr>
        <w:spacing w:after="0" w:line="22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You have been granted an award consisting of the following Options in accordance with the attached Nonqualified Option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Options Granted: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 Exercise Price: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Vesting Dates: </w:t>
      </w:r>
      <w:r>
        <w:rPr>
          <w:rFonts w:ascii="Times New Roman" w:cs="Times New Roman" w:eastAsia="Times New Roman" w:hAnsi="Times New Roman"/>
          <w:sz w:val="20"/>
          <w:szCs w:val="20"/>
          <w:color w:val="auto"/>
        </w:rPr>
        <w:t>Subject to the terms and conditions of the Agreement, the Options will vest in equal installments as follows:</w:t>
      </w: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first 1/3 installment of the Options will vest on ________ ___, 20___</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second 1/3 installment of the Options will vest on ________ ___, 20___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last 1/3 installment of the Options will vest on ________ ___, 20___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Expiration Date: </w:t>
      </w:r>
      <w:r>
        <w:rPr>
          <w:rFonts w:ascii="Times New Roman" w:cs="Times New Roman" w:eastAsia="Times New Roman" w:hAnsi="Times New Roman"/>
          <w:sz w:val="20"/>
          <w:szCs w:val="20"/>
          <w:color w:val="auto"/>
        </w:rPr>
        <w:t>________ ___, 20___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This award is made under the Colgate-Palmolive Company 2019 Incentive Compensation Plan (the “Plan”), and is subject to the terms, conditions, limitations and restrictions contained in or established pursuant to the Plan, the Agreement, all requirements of applicable law and, if applicable, the Colgate-Palmolive Company Clawback Policy. Capitalized terms used in this Notice of Grant that are not defined in this Notice of Grant have the meanings as used or defined in the Agreement.</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Copies of the Plan, the Agreement and the Company’s Prospectus relating to the Plan are available via Merrill’s Benefits Online at www.benefits.ml.com, or if you prefer to receive a paper copy, they are available from the Company at 300 Park Avenue, New York, New York 10022, Attention: Mr. Marty Collins, EVP, Global Total Rewards and HR Operations.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 Nonqualified Option Award Agreement</w:t>
      </w:r>
    </w:p>
    <w:p>
      <w:pPr>
        <w:sectPr>
          <w:pgSz w:w="11900" w:h="16838" w:orient="portrait"/>
          <w:cols w:equalWidth="0" w:num="1">
            <w:col w:w="11240"/>
          </w:cols>
          <w:pgMar w:left="320" w:top="144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COLGATE-PALMOLIVE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COMPENSATION PLAN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NONQUALIFIED OPTION AWARD AGREEMENT</w:t>
      </w:r>
    </w:p>
    <w:p>
      <w:pPr>
        <w:spacing w:after="0" w:line="2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NONQUALIFIED OPTION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effective as of the Grant Date indicated on the Nonqualified Option Notice of Grant delivered with this Agreement (the “</w:t>
      </w:r>
      <w:r>
        <w:rPr>
          <w:rFonts w:ascii="Times New Roman" w:cs="Times New Roman" w:eastAsia="Times New Roman" w:hAnsi="Times New Roman"/>
          <w:sz w:val="20"/>
          <w:szCs w:val="20"/>
          <w:u w:val="single" w:color="auto"/>
          <w:color w:val="auto"/>
        </w:rPr>
        <w:t>Notice of Grant</w:t>
      </w:r>
      <w:r>
        <w:rPr>
          <w:rFonts w:ascii="Times New Roman" w:cs="Times New Roman" w:eastAsia="Times New Roman" w:hAnsi="Times New Roman"/>
          <w:sz w:val="20"/>
          <w:szCs w:val="20"/>
          <w:color w:val="auto"/>
        </w:rPr>
        <w:t>”), is made and entered into by and between Colgate-Palmolive Company,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individual named on the Notice of Grant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Capitalized terms used and not otherwise defined in this Agreement will have the meanings set forth in the Colgate-Palmolive Company 2019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Applicable to Nonqualified Options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332"/>
        <w:spacing w:after="0" w:line="253" w:lineRule="auto"/>
        <w:tabs>
          <w:tab w:leader="none" w:pos="648"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grants to you, on the terms and conditions set forth in this Agreement, the right and option to purchase the number of Shares indicated on the Notice of Grant at the exercise price per share indicated on the Notice of Grant (the “</w:t>
      </w:r>
      <w:r>
        <w:rPr>
          <w:rFonts w:ascii="Times New Roman" w:cs="Times New Roman" w:eastAsia="Times New Roman" w:hAnsi="Times New Roman"/>
          <w:sz w:val="20"/>
          <w:szCs w:val="20"/>
          <w:u w:val="single" w:color="auto"/>
          <w:color w:val="auto"/>
        </w:rPr>
        <w:t>Option Exercise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Price</w:t>
      </w:r>
      <w:r>
        <w:rPr>
          <w:rFonts w:ascii="Times New Roman" w:cs="Times New Roman" w:eastAsia="Times New Roman" w:hAnsi="Times New Roman"/>
          <w:sz w:val="20"/>
          <w:szCs w:val="20"/>
          <w:color w:val="auto"/>
        </w:rPr>
        <w:t>”), which was the Fair Market Value of a Share on the Grant Date. The right to purchase each such Share is referred to in this Agreement as an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All Options granted hereunder will be “</w:t>
      </w:r>
      <w:r>
        <w:rPr>
          <w:rFonts w:ascii="Times New Roman" w:cs="Times New Roman" w:eastAsia="Times New Roman" w:hAnsi="Times New Roman"/>
          <w:sz w:val="20"/>
          <w:szCs w:val="20"/>
          <w:u w:val="single" w:color="auto"/>
          <w:color w:val="auto"/>
        </w:rPr>
        <w:t>Nonqualified Options</w:t>
      </w:r>
      <w:r>
        <w:rPr>
          <w:rFonts w:ascii="Times New Roman" w:cs="Times New Roman" w:eastAsia="Times New Roman" w:hAnsi="Times New Roman"/>
          <w:sz w:val="20"/>
          <w:szCs w:val="20"/>
          <w:color w:val="auto"/>
        </w:rPr>
        <w:t>” as defined in the Plan. Your rights to the Options are subject to this Agreement (including the Notice of Grant) and the Plan (which is incorporated herein by reference with the same effect as if set forth herein in full) in addition to such other terms and conditions, if any, as may be imposed by law.</w:t>
      </w:r>
    </w:p>
    <w:p>
      <w:pPr>
        <w:spacing w:after="0" w:line="192"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Exercisability</w:t>
      </w:r>
      <w:r>
        <w:rPr>
          <w:rFonts w:ascii="Times New Roman" w:cs="Times New Roman" w:eastAsia="Times New Roman" w:hAnsi="Times New Roman"/>
          <w:sz w:val="20"/>
          <w:szCs w:val="20"/>
          <w:color w:val="auto"/>
        </w:rPr>
        <w:t>. The number of Options specified in the Notice of Grant will vest on each vesting date indicated on the Notice of Grant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Except as provided in Section A.4 below, the Options will vest only if you remain continuously employed by the Company or an Affiliate through each Vesting Date. Only vested Options may be exercised. The specified number of Options will be exercisable from the applicable Vesting Date through the expiration date set forth in the Notice of Grant (the “</w:t>
      </w:r>
      <w:r>
        <w:rPr>
          <w:rFonts w:ascii="Times New Roman" w:cs="Times New Roman" w:eastAsia="Times New Roman" w:hAnsi="Times New Roman"/>
          <w:sz w:val="20"/>
          <w:szCs w:val="20"/>
          <w:u w:val="single" w:color="auto"/>
          <w:color w:val="auto"/>
        </w:rPr>
        <w:t>Expiration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unless earlier terminated pursuant to the Plan or this Agreement. Once vested and exercisable, and until the Expiration Date or early termination, all or any portion of the Options may be exercised from time to time and at any time under procedures and policies that the Company establishes from time to time.</w:t>
      </w:r>
    </w:p>
    <w:p>
      <w:pPr>
        <w:spacing w:after="0" w:line="192"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Procedure</w:t>
      </w:r>
      <w:r>
        <w:rPr>
          <w:rFonts w:ascii="Times New Roman" w:cs="Times New Roman" w:eastAsia="Times New Roman" w:hAnsi="Times New Roman"/>
          <w:sz w:val="20"/>
          <w:szCs w:val="20"/>
          <w:color w:val="auto"/>
        </w:rPr>
        <w:t>. The Options must be exercised by executing and delivering to the Company or the Company’s appointed third-party Plan administrator, either directly or through an online internet transaction, a notice of exercise or by complying with such other procedures and policies as the Company or its appointed third-party Plan administrator may establish for notifying the Company. No Shares will be delivered pursuant to the exercise of the Options unless you have complied with your obligations under this Agreement and the Plan. Payment may be made by certified or bank check or wire transfer or, in the Company’s discretion, (i) by exchanging Shares you own (which are not subject to any pledge or other security interest); (ii) to the extent permitted by applicable law and subject to rules as established by the Company and its appointed third-party Plan administrator, by using Shares subject to the Options (a broker-assisted cashless exercise); (iii) by having the Company or its appointed third-party Plan administrator withhold Shares from the Shares otherwise deliverable upon the exercise of the Options; or (iv) by such other instrument or method as the Company may accept. The Options must be exercised by the close of the New York Stock Exchange on the last business day prior to the Expiration Date. If the Options have not been exercised by 4:00 pm (Eastern Time) on the last business day prior to the Expiration Date, the Company will have the right to exercise the Options on your behalf and to deliver the</w:t>
      </w:r>
    </w:p>
    <w:p>
      <w:pPr>
        <w:sectPr>
          <w:pgSz w:w="11900" w:h="16838" w:orient="portrait"/>
          <w:cols w:equalWidth="0" w:num="1">
            <w:col w:w="11240"/>
          </w:cols>
          <w:pgMar w:left="320" w:top="1409"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20"/>
          <w:szCs w:val="20"/>
          <w:color w:val="auto"/>
        </w:rPr>
        <w:t>resulting Shares, net of the Option Exercise Price and any applicable withholding taxes, to your limited brokerage account at the Company’s appointed third-party Plan administrator or, if you do not have such an account, to a shareholder account in your name with the Company’s transfer agent.</w:t>
      </w:r>
    </w:p>
    <w:p>
      <w:pPr>
        <w:spacing w:after="0" w:line="208" w:lineRule="exact"/>
        <w:rPr>
          <w:sz w:val="20"/>
          <w:szCs w:val="20"/>
          <w:color w:val="auto"/>
        </w:rPr>
      </w:pPr>
    </w:p>
    <w:p>
      <w:pPr>
        <w:jc w:val="both"/>
        <w:ind w:firstLine="332"/>
        <w:spacing w:after="0" w:line="252" w:lineRule="auto"/>
        <w:tabs>
          <w:tab w:leader="none" w:pos="648"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 of Employment</w:t>
      </w:r>
      <w:r>
        <w:rPr>
          <w:rFonts w:ascii="Times New Roman" w:cs="Times New Roman" w:eastAsia="Times New Roman" w:hAnsi="Times New Roman"/>
          <w:sz w:val="20"/>
          <w:szCs w:val="20"/>
          <w:color w:val="auto"/>
        </w:rPr>
        <w:t>. The effect of a Termination of Employment on the Options is set forth in the Guidelines Regarding the Effect of Termination of Employment on Awards under the Plan adopted by the Committee on September 13, 2023, as such guidelines may be amended by the Committee from time to time. In addition, you are required to comply with the provisions regarding “Prohibited Conduct” set forth on Annex A to this Agreement. Annex A to this Agreement is part of this Agreement.</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Prohibited Conduct</w:t>
      </w:r>
      <w:r>
        <w:rPr>
          <w:rFonts w:ascii="Times New Roman" w:cs="Times New Roman" w:eastAsia="Times New Roman" w:hAnsi="Times New Roman"/>
          <w:sz w:val="20"/>
          <w:szCs w:val="20"/>
          <w:color w:val="auto"/>
        </w:rPr>
        <w:t>. In consideration of the grant by the Company of the Options and other good and valuable consideration, the</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receipt and sufficiency of which are hereby acknowledged, you and the Company, intending to be legally bound, agree to the provisions regarding “Prohibited Conduct” set forth on Annex A to this Agreement. Annex A to this Agreement is part of this Agreement.</w:t>
      </w:r>
    </w:p>
    <w:p>
      <w:pPr>
        <w:spacing w:after="0" w:line="188"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 and Conditions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332"/>
        <w:spacing w:after="0" w:line="269" w:lineRule="auto"/>
        <w:tabs>
          <w:tab w:leader="none" w:pos="64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 Adjustment for Change in Common Stock</w:t>
      </w:r>
      <w:r>
        <w:rPr>
          <w:rFonts w:ascii="Times New Roman" w:cs="Times New Roman" w:eastAsia="Times New Roman" w:hAnsi="Times New Roman"/>
          <w:sz w:val="20"/>
          <w:szCs w:val="20"/>
          <w:color w:val="auto"/>
        </w:rPr>
        <w:t>. The treatment of the Options in the event of a Change in Control, a Corporate Transaction or a Share Change will be governed by the Plan.</w:t>
      </w:r>
    </w:p>
    <w:p>
      <w:pPr>
        <w:spacing w:after="0" w:line="199"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International Appendix</w:t>
      </w:r>
      <w:r>
        <w:rPr>
          <w:rFonts w:ascii="Times New Roman" w:cs="Times New Roman" w:eastAsia="Times New Roman" w:hAnsi="Times New Roman"/>
          <w:sz w:val="20"/>
          <w:szCs w:val="20"/>
          <w:color w:val="auto"/>
        </w:rPr>
        <w:t>. If you work or reside outside the United States, the Options will be subject to the general non-United States terms and conditions and the special terms and conditions of your country set forth in the attached International Appendix and, to the extent there is any conflict between this Agreement and the International Appendix, the International Appendix will control. Moreover, if you relocate from the United States to one of the countries included in the International Appendix or you move between countries included in the International Appendix, the general non-United States terms and conditions and the special terms and conditions for such country will apply to you, to the extent the Company determines that the application of such terms and conditions is necessary or advisable. The International Appendix is part of this Agreement.</w:t>
      </w:r>
    </w:p>
    <w:p>
      <w:pPr>
        <w:spacing w:after="0" w:line="219" w:lineRule="exact"/>
        <w:rPr>
          <w:rFonts w:ascii="Times New Roman" w:cs="Times New Roman" w:eastAsia="Times New Roman" w:hAnsi="Times New Roman"/>
          <w:sz w:val="20"/>
          <w:szCs w:val="20"/>
          <w:color w:val="auto"/>
        </w:rPr>
      </w:pPr>
    </w:p>
    <w:p>
      <w:pPr>
        <w:jc w:val="both"/>
        <w:ind w:firstLine="332"/>
        <w:spacing w:after="0" w:line="252" w:lineRule="auto"/>
        <w:tabs>
          <w:tab w:leader="none" w:pos="64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to the Company under this Agreement will be addressed to the Chief Legal Officer and Secretary at the Company’s principal executive offices, and any notice to be given to you will be addressed to you at the address on file with the Company and/or the Company’s appointed third-party Plan administrator. Either the Company or you may designate a different address by written notice to the other. Written notice to said addresses will be effective to bind the Company and you and your representatives and beneficiaries. Any notice required or permitted hereunder will be (a) given in writing and will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referenced herein, or (b) delivered electronically (including any notices delivered by a third-party) and will be deemed effectively given upon such delivery.</w:t>
      </w:r>
    </w:p>
    <w:p>
      <w:pPr>
        <w:spacing w:after="0" w:line="202" w:lineRule="exact"/>
        <w:rPr>
          <w:rFonts w:ascii="Times New Roman" w:cs="Times New Roman" w:eastAsia="Times New Roman" w:hAnsi="Times New Roman"/>
          <w:sz w:val="20"/>
          <w:szCs w:val="20"/>
          <w:color w:val="auto"/>
        </w:rPr>
      </w:pPr>
    </w:p>
    <w:p>
      <w:pPr>
        <w:ind w:right="20" w:firstLine="332"/>
        <w:spacing w:after="0" w:line="283" w:lineRule="auto"/>
        <w:tabs>
          <w:tab w:leader="none" w:pos="64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inure to the benefit of and be binding upon the parties hereto and their respective heirs, beneficiaries, executors, administrators, representatives, successors and assigns.</w:t>
      </w:r>
    </w:p>
    <w:p>
      <w:pPr>
        <w:spacing w:after="0" w:line="173" w:lineRule="exact"/>
        <w:rPr>
          <w:rFonts w:ascii="Times New Roman" w:cs="Times New Roman" w:eastAsia="Times New Roman" w:hAnsi="Times New Roman"/>
          <w:sz w:val="20"/>
          <w:szCs w:val="20"/>
          <w:color w:val="auto"/>
        </w:rPr>
      </w:pPr>
    </w:p>
    <w:p>
      <w:pPr>
        <w:ind w:firstLine="332"/>
        <w:spacing w:after="0" w:line="283" w:lineRule="auto"/>
        <w:tabs>
          <w:tab w:leader="none" w:pos="64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Contract of Employment; Agreement’s Survival</w:t>
      </w:r>
      <w:r>
        <w:rPr>
          <w:rFonts w:ascii="Times New Roman" w:cs="Times New Roman" w:eastAsia="Times New Roman" w:hAnsi="Times New Roman"/>
          <w:sz w:val="20"/>
          <w:szCs w:val="20"/>
          <w:color w:val="auto"/>
        </w:rPr>
        <w:t>. Nothing contained in this Agreement will affect the right of the Company or an Affiliate to terminate your employment at any time, with or without</w:t>
      </w:r>
    </w:p>
    <w:p>
      <w:pPr>
        <w:sectPr>
          <w:pgSz w:w="11900" w:h="16838" w:orient="portrait"/>
          <w:cols w:equalWidth="0" w:num="1">
            <w:col w:w="11240"/>
          </w:cols>
          <w:pgMar w:left="320" w:top="1413" w:right="339" w:bottom="1440" w:gutter="0" w:footer="0" w:header="0"/>
        </w:sectPr>
      </w:pPr>
    </w:p>
    <w:bookmarkStart w:id="63" w:name="page64"/>
    <w:bookmarkEnd w:id="63"/>
    <w:p>
      <w:pPr>
        <w:jc w:val="both"/>
        <w:spacing w:after="0" w:line="253" w:lineRule="auto"/>
        <w:rPr>
          <w:sz w:val="20"/>
          <w:szCs w:val="20"/>
          <w:color w:val="auto"/>
        </w:rPr>
      </w:pPr>
      <w:r>
        <w:rPr>
          <w:rFonts w:ascii="Times New Roman" w:cs="Times New Roman" w:eastAsia="Times New Roman" w:hAnsi="Times New Roman"/>
          <w:sz w:val="20"/>
          <w:szCs w:val="20"/>
          <w:color w:val="auto"/>
        </w:rPr>
        <w:t>Cause, or will be deemed to create any rights to employment on your part. The rights and obligations arising under this Agreement are not intended to and do not affect the employment relationship that otherwise exists between the Company or an Affiliate and you, whether such employment relationship is at will or defined by an employment contract. Moreover, this Agreement is not intended to and does not amend any existing employment contract between the Company and you. To the extent there is a conflict between this Agreement and such an employment contract as it relates to the Options awarded hereunder, the terms of this Agreement will govern and take priority. This Agreement will survive the termination of your employment for any reason.</w:t>
      </w:r>
    </w:p>
    <w:p>
      <w:pPr>
        <w:spacing w:after="0" w:line="219" w:lineRule="exact"/>
        <w:rPr>
          <w:sz w:val="20"/>
          <w:szCs w:val="20"/>
          <w:color w:val="auto"/>
        </w:rPr>
      </w:pPr>
    </w:p>
    <w:p>
      <w:pPr>
        <w:jc w:val="both"/>
        <w:ind w:firstLine="332"/>
        <w:spacing w:after="0" w:line="251"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Waiver</w:t>
      </w:r>
      <w:r>
        <w:rPr>
          <w:rFonts w:ascii="Times New Roman" w:cs="Times New Roman" w:eastAsia="Times New Roman" w:hAnsi="Times New Roman"/>
          <w:sz w:val="20"/>
          <w:szCs w:val="20"/>
          <w:color w:val="auto"/>
        </w:rPr>
        <w:t>. The terms and conditions of this Agreement may be amended unilaterally by the Company, provided, however, that (a) no such amendment will be adverse to you without your written consent (except (i) as provided in Section A.4 above or (ii) to the extent the Company reasonably determines that such amendment is necessary or appropriate to comply with applicable law, including the provisions of Code Section 409A, stock exchange rules or accounting rules); and (b) the amendment must be permitted under the Plan. The Company’s failure to insist upon strict compliance with any provision of this Agreement or failure to exercise, or any delay in exercising, any right, power or remedy under this Agreement will not be deemed to be a waiver of such provision or any such right, power or remedy which the Board, the Committee or the Company has under this Agreement.</w:t>
      </w:r>
    </w:p>
    <w:p>
      <w:pPr>
        <w:spacing w:after="0" w:line="192"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 or Reform by Court</w:t>
      </w:r>
      <w:r>
        <w:rPr>
          <w:rFonts w:ascii="Times New Roman" w:cs="Times New Roman" w:eastAsia="Times New Roman" w:hAnsi="Times New Roman"/>
          <w:sz w:val="20"/>
          <w:szCs w:val="20"/>
          <w:color w:val="auto"/>
        </w:rPr>
        <w:t>. If any provision of this Agreement is declared or found to be illegal, unenforceable or void, in whole or in part, then the parties will be relieved of their respective obligations arising under such provision only to the extent that it is illegal, unenforceable or void, it being the intent and agreement of the parties that this Agreement will be deemed amended by modifying such provision to the fullest extent necessary to make it legal and enforceable while preserving its intent or, if that is not possible, by substituting therefor another provision that is legal and enforceable and achieves the same objectives. If any provision of this Agreement is declared or found to be illegal, unenforceable or void to any extent, the validity or enforceability of the remaining provisions of this Agreement will not be affected.</w:t>
      </w:r>
    </w:p>
    <w:p>
      <w:pPr>
        <w:spacing w:after="0" w:line="219" w:lineRule="exact"/>
        <w:rPr>
          <w:rFonts w:ascii="Times New Roman" w:cs="Times New Roman" w:eastAsia="Times New Roman" w:hAnsi="Times New Roman"/>
          <w:sz w:val="20"/>
          <w:szCs w:val="20"/>
          <w:color w:val="auto"/>
        </w:rPr>
      </w:pPr>
    </w:p>
    <w:p>
      <w:pPr>
        <w:jc w:val="both"/>
        <w:ind w:firstLine="332"/>
        <w:spacing w:after="0" w:line="249"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The Plan, the granting and vesting of the Options, and any obligations of the Company under the Plan, will be subject to all applicable federal, state and foreign country laws, rules and regulations, and to such approvals by any regulatory or governmental agency as may be required, and to any rules or regulations of any exchange on which the Shares are listed. The Company, in its discretion, may postpone the vesting or exercise of the Options, the issuance or delivery of Shares under this Award or any other action permitted under the Plan to enable the Company to complete any required action under any federal, state or foreign country law, rule or regulation. The Company may require that you make such representations and agreements and furnish such information as the Company deems appropriate to assure compliance with or exemption from the requirements of any securities exchange, any foreign, federal, state or local law, any governmental regulatory body, or any other applicable legal requirement, and Shares will not be issued unless and until you make such representations and agreements and furnish such information as the Company deems appropriate. The Company will not be obligated by virtue of any provision of the Plan to recognize the vesting or exercise of the Options or to otherwise sell or issue Shares in violation of any such laws, rules or regulations. Neither the Company nor its directors or officers will have any obligation or liability to you caused by any postponement of the vesting or exercise of the Options (or Shares issuable thereunder).</w:t>
      </w:r>
    </w:p>
    <w:p>
      <w:pPr>
        <w:spacing w:after="0" w:line="228" w:lineRule="exact"/>
        <w:rPr>
          <w:rFonts w:ascii="Times New Roman" w:cs="Times New Roman" w:eastAsia="Times New Roman" w:hAnsi="Times New Roman"/>
          <w:sz w:val="20"/>
          <w:szCs w:val="20"/>
          <w:color w:val="auto"/>
        </w:rPr>
      </w:pPr>
    </w:p>
    <w:p>
      <w:pPr>
        <w:ind w:right="200" w:firstLine="332"/>
        <w:spacing w:after="0" w:line="28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Shareholder</w:t>
      </w:r>
      <w:r>
        <w:rPr>
          <w:rFonts w:ascii="Times New Roman" w:cs="Times New Roman" w:eastAsia="Times New Roman" w:hAnsi="Times New Roman"/>
          <w:sz w:val="20"/>
          <w:szCs w:val="20"/>
          <w:color w:val="auto"/>
        </w:rPr>
        <w:t>. Except as set forth in the Plan, neither you nor any person claiming under or through you will be, or will have any of the rights or privileges of, a holder of Shares with</w:t>
      </w:r>
    </w:p>
    <w:p>
      <w:pPr>
        <w:sectPr>
          <w:pgSz w:w="11900" w:h="16838" w:orient="portrait"/>
          <w:cols w:equalWidth="0" w:num="1">
            <w:col w:w="11240"/>
          </w:cols>
          <w:pgMar w:left="320" w:top="14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respect to the Options unless and until such Options are exercised and Shares are actually delivered to you.</w:t>
      </w:r>
    </w:p>
    <w:p>
      <w:pPr>
        <w:spacing w:after="0" w:line="256" w:lineRule="exact"/>
        <w:rPr>
          <w:sz w:val="20"/>
          <w:szCs w:val="20"/>
          <w:color w:val="auto"/>
        </w:rPr>
      </w:pPr>
    </w:p>
    <w:p>
      <w:pPr>
        <w:ind w:right="140" w:firstLine="332"/>
        <w:spacing w:after="0" w:line="251" w:lineRule="auto"/>
        <w:tabs>
          <w:tab w:leader="none" w:pos="63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In addition to the rights of the Company set forth in Paragraph 6 of Annex A, you agree, if the Company in its reasonable judgment determines that you owe the Company and/or any Affiliate any amount due to any loan, note, obligation or indebtedness, including but not limited to amounts owed to the Company pursuant to the Company’s tax equalization program or the Company’s policies with respect to travel and business expenses, and if you have not satisfied such obligation(s), then the Company may, to the extent permitted by applicable law (including without limitation Code Section 409A) instruct the Plan administrator to withhold and/or sell Shares acquired by you upon exercise of your Options, or the Company may deduct funds equal to the amount of such obligation from other funds due to you from the Company or an Affiliate.</w:t>
      </w:r>
    </w:p>
    <w:p>
      <w:pPr>
        <w:spacing w:after="0" w:line="192" w:lineRule="exact"/>
        <w:rPr>
          <w:rFonts w:ascii="Times New Roman" w:cs="Times New Roman" w:eastAsia="Times New Roman" w:hAnsi="Times New Roman"/>
          <w:sz w:val="20"/>
          <w:szCs w:val="20"/>
          <w:color w:val="auto"/>
        </w:rPr>
      </w:pPr>
    </w:p>
    <w:p>
      <w:pPr>
        <w:jc w:val="both"/>
        <w:ind w:firstLine="332"/>
        <w:spacing w:after="0" w:line="253" w:lineRule="auto"/>
        <w:tabs>
          <w:tab w:leader="none" w:pos="63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including this Agreement, by electronic means or request your consent to participate in the Plan by electronic means. You hereby consent to receive such documents by electronic delivery and agree to participate in the Plan through an on-line or electronic system established and maintained by the Company or its appointed third-party Plan administrator. The Agreement if delivered by electronic means with electronic signatures will be treated in all manner and respects as an original executed document and will be considered to have the same binding legal effect as if it were the original signed versions thereof delivered in person.</w:t>
      </w:r>
    </w:p>
    <w:p>
      <w:pPr>
        <w:spacing w:after="0" w:line="174" w:lineRule="exact"/>
        <w:rPr>
          <w:rFonts w:ascii="Times New Roman" w:cs="Times New Roman" w:eastAsia="Times New Roman" w:hAnsi="Times New Roman"/>
          <w:sz w:val="20"/>
          <w:szCs w:val="20"/>
          <w:color w:val="auto"/>
        </w:rPr>
      </w:pPr>
    </w:p>
    <w:p>
      <w:pPr>
        <w:jc w:val="both"/>
        <w:ind w:firstLine="332"/>
        <w:spacing w:after="0" w:line="254" w:lineRule="auto"/>
        <w:tabs>
          <w:tab w:leader="none" w:pos="63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By accepting the Options, you explicitly and unambiguously consent to the collection, use, transfer, holding, storage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disclosure in electronic or other form, of your personal data as described in this Agreement and any other Award grant materials (“</w:t>
      </w:r>
      <w:r>
        <w:rPr>
          <w:rFonts w:ascii="Times New Roman" w:cs="Times New Roman" w:eastAsia="Times New Roman" w:hAnsi="Times New Roman"/>
          <w:sz w:val="20"/>
          <w:szCs w:val="20"/>
          <w:i w:val="1"/>
          <w:iCs w:val="1"/>
          <w:u w:val="single" w:color="auto"/>
          <w:color w:val="auto"/>
        </w:rPr>
        <w:t>Data</w:t>
      </w:r>
      <w:r>
        <w:rPr>
          <w:rFonts w:ascii="Times New Roman" w:cs="Times New Roman" w:eastAsia="Times New Roman" w:hAnsi="Times New Roman"/>
          <w:sz w:val="20"/>
          <w:szCs w:val="20"/>
          <w:i w:val="1"/>
          <w:iCs w:val="1"/>
          <w:color w:val="auto"/>
        </w:rPr>
        <w:t>”) by and among, as applicable, the Company and its Affiliates (collectively referred to in this Data Privacy section as the “</w:t>
      </w:r>
      <w:r>
        <w:rPr>
          <w:rFonts w:ascii="Times New Roman" w:cs="Times New Roman" w:eastAsia="Times New Roman" w:hAnsi="Times New Roman"/>
          <w:sz w:val="20"/>
          <w:szCs w:val="20"/>
          <w:i w:val="1"/>
          <w:iCs w:val="1"/>
          <w:u w:val="single" w:color="auto"/>
          <w:color w:val="auto"/>
        </w:rPr>
        <w:t>Company</w:t>
      </w:r>
      <w:r>
        <w:rPr>
          <w:rFonts w:ascii="Times New Roman" w:cs="Times New Roman" w:eastAsia="Times New Roman" w:hAnsi="Times New Roman"/>
          <w:sz w:val="20"/>
          <w:szCs w:val="20"/>
          <w:i w:val="1"/>
          <w:iCs w:val="1"/>
          <w:color w:val="auto"/>
        </w:rPr>
        <w:t>”) and certain third party service providers including, but not limited to, Plan brokers, financial advisers and legal counsel, engaged by the Company (collectively, the “</w:t>
      </w:r>
      <w:r>
        <w:rPr>
          <w:rFonts w:ascii="Times New Roman" w:cs="Times New Roman" w:eastAsia="Times New Roman" w:hAnsi="Times New Roman"/>
          <w:sz w:val="20"/>
          <w:szCs w:val="20"/>
          <w:i w:val="1"/>
          <w:iCs w:val="1"/>
          <w:u w:val="single" w:color="auto"/>
          <w:color w:val="auto"/>
        </w:rPr>
        <w:t>Providers</w:t>
      </w:r>
      <w:r>
        <w:rPr>
          <w:rFonts w:ascii="Times New Roman" w:cs="Times New Roman" w:eastAsia="Times New Roman" w:hAnsi="Times New Roman"/>
          <w:sz w:val="20"/>
          <w:szCs w:val="20"/>
          <w:i w:val="1"/>
          <w:iCs w:val="1"/>
          <w:color w:val="auto"/>
        </w:rPr>
        <w:t>”) for the purpose of implementing, administering and managing the Plan and complying with applicable laws, regulations and legislation.</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You understand that the Data which may be collected, used, transferred, held, stored or disclosed by the Company and the Providers consists of certain Data about you, including, but not limited to, your name, home address, telephone number, date of birth, social insurance number or other government identification number, salary, nationality, job title, any Shares or directorships held in the Company, details of all Options or any other entitlement to Shares awarded, canceled, exercised, vested, unvested or outstanding. The Data may also include information relating to your health (for example, where your employment terminates due to death or Disability). You further understand that such collection, use, transfer, holding, storage or disclosure of the Data may be necessary for the purpose of implementing, administering and managing the Plan and complying with applicable laws, regulations and legislation. You understand that the Company or the Providers may be located in the United States or elsewhere, and that the laws of the country in which the Company and the Providers collect, use, transfer, hold, store or disclose the Data may have different legal protections for the Data than your country. However, regardless of the location of the Data, the Company protects the Data through reasonable physical, technical and administrative safeguards and requires that the Providers also have such safeguards in place.</w:t>
      </w:r>
    </w:p>
    <w:p>
      <w:pPr>
        <w:spacing w:after="0" w:line="17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You understand that you may, at any time, request a copy of your Data, request additional information about the storage and processing of Data, require any necessary amendments to Data or refuse or</w:t>
      </w:r>
    </w:p>
    <w:p>
      <w:pPr>
        <w:sectPr>
          <w:pgSz w:w="11900" w:h="16838" w:orient="portrait"/>
          <w:cols w:equalWidth="0" w:num="1">
            <w:col w:w="11240"/>
          </w:cols>
          <w:pgMar w:left="320" w:top="1413" w:right="339" w:bottom="1440" w:gutter="0" w:footer="0" w:header="0"/>
        </w:sectPr>
      </w:pPr>
    </w:p>
    <w:bookmarkStart w:id="65" w:name="page66"/>
    <w:bookmarkEnd w:id="65"/>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withdraw the consents herein, in any case without cost, by contacting your local human resources representative in writing. You understand that refusing or withdrawing your consent may affect your ability to participate in the Plan as more fully described below.</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You understand that you are providing the consent herein on a purely voluntary basis. If you do not consent, or if you later seek to revoke your consent, your employment status or service and career with your employer will not be adversely affected; the only adverse consequence of refusing or withdrawing your consent is that the Company would not be able to grant Options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firstLine="332"/>
        <w:spacing w:after="0" w:line="253" w:lineRule="auto"/>
        <w:tabs>
          <w:tab w:leader="none" w:pos="63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Choice of Venue</w:t>
      </w:r>
      <w:r>
        <w:rPr>
          <w:rFonts w:ascii="Times New Roman" w:cs="Times New Roman" w:eastAsia="Times New Roman" w:hAnsi="Times New Roman"/>
          <w:sz w:val="20"/>
          <w:szCs w:val="20"/>
          <w:color w:val="auto"/>
        </w:rPr>
        <w:t>. This Agreement will be governed, construed and enforced in accordance with the laws of the State of Delaware and the United States, as applicable, without giving effect to conflict of law rules or principles thereof. Any action or proceeding seeking to enforce any provision of or based on any right arising out of this Agreement may be brought against you or the Company only in a federal or state court located in Delaware, and you and the Company each agree to submit yourself and your respective property to the exclusive jurisdiction of the foregoing courts with respect to such disputes.</w:t>
      </w:r>
    </w:p>
    <w:p>
      <w:pPr>
        <w:spacing w:after="0" w:line="218" w:lineRule="exact"/>
        <w:rPr>
          <w:rFonts w:ascii="Times New Roman" w:cs="Times New Roman" w:eastAsia="Times New Roman" w:hAnsi="Times New Roman"/>
          <w:sz w:val="20"/>
          <w:szCs w:val="20"/>
          <w:color w:val="auto"/>
        </w:rPr>
      </w:pPr>
    </w:p>
    <w:p>
      <w:pPr>
        <w:jc w:val="both"/>
        <w:ind w:firstLine="332"/>
        <w:spacing w:after="0" w:line="258" w:lineRule="auto"/>
        <w:tabs>
          <w:tab w:leader="none" w:pos="63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Incorporated</w:t>
      </w:r>
      <w:r>
        <w:rPr>
          <w:rFonts w:ascii="Times New Roman" w:cs="Times New Roman" w:eastAsia="Times New Roman" w:hAnsi="Times New Roman"/>
          <w:sz w:val="20"/>
          <w:szCs w:val="20"/>
          <w:color w:val="auto"/>
        </w:rPr>
        <w:t>. You accept the Options hereby granted subject to all the provisions of the Plan, which are incorporated into this Agreement, including the provisions that authorize the Committee to administer and interpret the Plan and which provide that the Committee’s decisions, determinations and interpretations with respect to the Plan are final and conclusive on all persons affected thereby. In the event of a conflict between this Agreement and the Plan, the Plan will prevail.</w:t>
      </w:r>
    </w:p>
    <w:p>
      <w:pPr>
        <w:sectPr>
          <w:pgSz w:w="11900" w:h="16838" w:orient="portrait"/>
          <w:cols w:equalWidth="0" w:num="1">
            <w:col w:w="11240"/>
          </w:cols>
          <w:pgMar w:left="320" w:top="1409" w:right="339" w:bottom="1440" w:gutter="0" w:footer="0" w:header="0"/>
        </w:sectPr>
      </w:pPr>
    </w:p>
    <w:bookmarkStart w:id="66" w:name="page67"/>
    <w:bookmarkEnd w:id="66"/>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COLGATE-PALMOLIVE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Authorized Signature</w:t>
      </w: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Using the Merrill Benefits Online system or other available means, you must accept the above Options in accordance with and subject to the terms and conditions of this Agreement and the Plan, acknowledge that you have read this Agreement and the Plan, and agree to be bound by this Agreement, the Plan and the actions of the Committee. If you do not do so within 180 days of the Grant Date indicated on the Notice of Grant, then you will not be able to exercise the Options and the Options will be forfeited.</w:t>
      </w:r>
    </w:p>
    <w:p>
      <w:pPr>
        <w:sectPr>
          <w:pgSz w:w="11900" w:h="16838" w:orient="portrait"/>
          <w:cols w:equalWidth="0" w:num="1">
            <w:col w:w="11240"/>
          </w:cols>
          <w:pgMar w:left="320" w:top="144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Prohibited Conduct</w:t>
      </w:r>
    </w:p>
    <w:p>
      <w:pPr>
        <w:spacing w:after="0" w:line="24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 corporation or other entity (i) controlled by, controlling or under common control with, the Company (including, without limitation, a corporation or other entity in which the Company has a 50% or more ownership interest) or (ii) designated by the Committee from time to time as such for purposes of the Plan.</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Products</w:t>
      </w:r>
      <w:r>
        <w:rPr>
          <w:rFonts w:ascii="Times New Roman" w:cs="Times New Roman" w:eastAsia="Times New Roman" w:hAnsi="Times New Roman"/>
          <w:sz w:val="20"/>
          <w:szCs w:val="20"/>
          <w:color w:val="auto"/>
        </w:rPr>
        <w:t>” means any product, composition, formulation, process, machine or service of any person or organization (other than the Company or an Affiliate) in existence, being researched or under development that competes with, or is intended to compete with, a product, composition, formulation, process, machine or service being researched or under development, produced, distributed, marketed, sold or licensed by the Company or an Affiliate (i) related to any aspect of any one or more of the Company’s or an Affiliate’s lines of business on which you have worked or provided services during the Relevant Period, or (ii) for which you have obtained, been provided or had access to confidential, proprietary and/or trade secret information of the Company or an Affiliate.</w:t>
      </w:r>
    </w:p>
    <w:p>
      <w:pPr>
        <w:spacing w:after="0" w:line="178" w:lineRule="exact"/>
        <w:rPr>
          <w:rFonts w:ascii="Times New Roman" w:cs="Times New Roman" w:eastAsia="Times New Roman" w:hAnsi="Times New Roman"/>
          <w:sz w:val="20"/>
          <w:szCs w:val="20"/>
          <w:color w:val="auto"/>
        </w:rPr>
      </w:pPr>
    </w:p>
    <w:p>
      <w:pPr>
        <w:ind w:right="20" w:firstLine="656"/>
        <w:spacing w:after="0" w:line="283" w:lineRule="auto"/>
        <w:tabs>
          <w:tab w:leader="none" w:pos="129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Prohibited Geography</w:t>
      </w:r>
      <w:r>
        <w:rPr>
          <w:rFonts w:ascii="Times New Roman" w:cs="Times New Roman" w:eastAsia="Times New Roman" w:hAnsi="Times New Roman"/>
          <w:sz w:val="20"/>
          <w:szCs w:val="20"/>
          <w:color w:val="auto"/>
        </w:rPr>
        <w:t>” means any country, geography, territory, region or division with respect to which you have worked, provided services or had a material presence or influence for the Company or an Affiliate in any capacity.</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Period</w:t>
      </w:r>
      <w:r>
        <w:rPr>
          <w:rFonts w:ascii="Times New Roman" w:cs="Times New Roman" w:eastAsia="Times New Roman" w:hAnsi="Times New Roman"/>
          <w:sz w:val="20"/>
          <w:szCs w:val="20"/>
          <w:color w:val="auto"/>
        </w:rPr>
        <w:t>” means the 24-month period immediately prior to the termination of your employment with the Company or an Affiliate for any reason.</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Time</w:t>
      </w:r>
      <w:r>
        <w:rPr>
          <w:rFonts w:ascii="Times New Roman" w:cs="Times New Roman" w:eastAsia="Times New Roman" w:hAnsi="Times New Roman"/>
          <w:sz w:val="20"/>
          <w:szCs w:val="20"/>
          <w:color w:val="auto"/>
        </w:rPr>
        <w:t>” means the period during which you are employed by the Company or an Affiliate plus the 12-month period immediately following the termination of your employment with the Company or an Affiliate for any reason.</w:t>
      </w:r>
    </w:p>
    <w:p>
      <w:pPr>
        <w:spacing w:after="0" w:line="173" w:lineRule="exact"/>
        <w:rPr>
          <w:sz w:val="20"/>
          <w:szCs w:val="20"/>
          <w:color w:val="auto"/>
        </w:rPr>
      </w:pPr>
    </w:p>
    <w:p>
      <w:pPr>
        <w:ind w:right="20" w:firstLine="332"/>
        <w:spacing w:after="0" w:line="269"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Each of the covenants contained in Paragraphs 2(a)-(c) of this Annex A are collectively referred to as the “</w:t>
      </w: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620" w:hanging="316"/>
        <w:spacing w:after="0" w:line="253" w:lineRule="auto"/>
        <w:tabs>
          <w:tab w:leader="none" w:pos="1611"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Restricted Time, you will not, without the prior written consent of the Company’s Chief Human Resources Officer or Chief Legal Officer, either directly or indirectly, for yourself or on behalf of or in conjunction with any other person, partnership, corporation or other entity, serve as a director, officer, employee, consultant, contractor or advisor of, provide services or advice in any capacity to, or acquire or hold any ownership interest in an entity that manufactures, markets, sells, develops, distributes or produces Covered Products in the Prohibited Geography, subject to applicable law. Notwithstanding the foregoing, you will not be considered to be in violation of this covenant solely by reason of owning, directly or indirectly, up to 5% in the aggregate of any class of securities of any corporation, partnership or other entity.</w:t>
      </w:r>
    </w:p>
    <w:p>
      <w:pPr>
        <w:spacing w:after="0" w:line="207" w:lineRule="exact"/>
        <w:rPr>
          <w:sz w:val="20"/>
          <w:szCs w:val="20"/>
          <w:color w:val="auto"/>
        </w:rPr>
      </w:pPr>
    </w:p>
    <w:p>
      <w:pPr>
        <w:ind w:left="1620" w:hanging="316"/>
        <w:spacing w:after="0" w:line="283" w:lineRule="auto"/>
        <w:tabs>
          <w:tab w:leader="none" w:pos="161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termination of your employment with the Company or an Affiliate, you agree to disclose to your Human Resources Representative in writing, at least</w:t>
      </w:r>
    </w:p>
    <w:p>
      <w:pPr>
        <w:sectPr>
          <w:pgSz w:w="11900" w:h="16838" w:orient="portrait"/>
          <w:cols w:equalWidth="0" w:num="1">
            <w:col w:w="11240"/>
          </w:cols>
          <w:pgMar w:left="320" w:top="1409" w:right="339" w:bottom="1440" w:gutter="0" w:footer="0" w:header="0"/>
        </w:sectPr>
      </w:pPr>
    </w:p>
    <w:bookmarkStart w:id="68" w:name="page69"/>
    <w:bookmarkEnd w:id="68"/>
    <w:p>
      <w:pPr>
        <w:jc w:val="both"/>
        <w:ind w:left="964"/>
        <w:spacing w:after="0" w:line="266" w:lineRule="auto"/>
        <w:rPr>
          <w:sz w:val="20"/>
          <w:szCs w:val="20"/>
          <w:color w:val="auto"/>
        </w:rPr>
      </w:pPr>
      <w:r>
        <w:rPr>
          <w:rFonts w:ascii="Times New Roman" w:cs="Times New Roman" w:eastAsia="Times New Roman" w:hAnsi="Times New Roman"/>
          <w:sz w:val="19"/>
          <w:szCs w:val="19"/>
          <w:color w:val="auto"/>
        </w:rPr>
        <w:t>fourteen (14) days prior to your anticipated last day of employment with the Company or Affiliate, as applicable, the name of any new employer or other entity for whom you will be providing services or advice in any capacity and the scope of your role with that employer or other entity in order to allow the Company a reasonable period of time to determine whether that role is in breach of the Restrictive Covenants. You further agree that during the Restricted Time, you will provide notice to the Company as set forth in this subparagraph and pursuant to the Notices provision of Section C.3 of this Agreement, of any new employer or other new entity for whom you will be providing services or advice in any capacity, or new role with any employer or other entity, at least fourteen (14) days prior to assuming that new role to allow the Company a reasonable period of time to determine whether that role is in breach of the Restrictive Covenants.</w:t>
      </w:r>
    </w:p>
    <w:p>
      <w:pPr>
        <w:spacing w:after="0" w:line="182" w:lineRule="exact"/>
        <w:rPr>
          <w:sz w:val="20"/>
          <w:szCs w:val="20"/>
          <w:color w:val="auto"/>
        </w:rPr>
      </w:pPr>
    </w:p>
    <w:p>
      <w:pPr>
        <w:ind w:left="644" w:hanging="644"/>
        <w:spacing w:after="0"/>
        <w:tabs>
          <w:tab w:leader="none" w:pos="64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Non-Interference</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964" w:hanging="316"/>
        <w:spacing w:after="0" w:line="269" w:lineRule="auto"/>
        <w:tabs>
          <w:tab w:leader="none" w:pos="96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Covered Products, during the Restricted Time, except on behalf of the Company or an Affiliate, you will not solicit or sell to (or attempt to solicit or sell to) any customer or prospective customer, or any supplier, licensee or other business relation of the Company or an Affiliate (each, a “</w:t>
      </w:r>
      <w:r>
        <w:rPr>
          <w:rFonts w:ascii="Times New Roman" w:cs="Times New Roman" w:eastAsia="Times New Roman" w:hAnsi="Times New Roman"/>
          <w:sz w:val="19"/>
          <w:szCs w:val="19"/>
          <w:u w:val="single" w:color="auto"/>
          <w:color w:val="auto"/>
        </w:rPr>
        <w:t>Restricted Third Party</w:t>
      </w:r>
      <w:r>
        <w:rPr>
          <w:rFonts w:ascii="Times New Roman" w:cs="Times New Roman" w:eastAsia="Times New Roman" w:hAnsi="Times New Roman"/>
          <w:sz w:val="19"/>
          <w:szCs w:val="19"/>
          <w:color w:val="auto"/>
        </w:rPr>
        <w:t>”) (a) for which, during your employment with the Company or an Affiliate, you, directly or indirectly, engaged or had responsibility on behalf of the Company or an Affiliate during the Relevant Period, or (b) for which you have obtained, been provided, or had access to confidential information of the Restricted Third Party, or (c) for which you have obtained, been provided or had access to Confidential Information (as such term is defined in Paragraph 3 below) pertaining to the Restricted Third Party.</w:t>
      </w:r>
    </w:p>
    <w:p>
      <w:pPr>
        <w:spacing w:after="0" w:line="202" w:lineRule="exact"/>
        <w:rPr>
          <w:rFonts w:ascii="Times New Roman" w:cs="Times New Roman" w:eastAsia="Times New Roman" w:hAnsi="Times New Roman"/>
          <w:sz w:val="19"/>
          <w:szCs w:val="19"/>
          <w:color w:val="auto"/>
        </w:rPr>
      </w:pPr>
    </w:p>
    <w:p>
      <w:pPr>
        <w:jc w:val="both"/>
        <w:ind w:left="964" w:hanging="316"/>
        <w:spacing w:after="0" w:line="261" w:lineRule="auto"/>
        <w:tabs>
          <w:tab w:leader="none" w:pos="961"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during the Restricted Time, you will not induce (or attempt to induce) any Restricted Third Party to cease or diminish doing business with the Company or an Affiliate or in any way interfere with the relationship between any Restricted Third Party and the Company or an Affiliate.</w:t>
      </w:r>
    </w:p>
    <w:p>
      <w:pPr>
        <w:spacing w:after="0" w:line="194" w:lineRule="exact"/>
        <w:rPr>
          <w:rFonts w:ascii="Times New Roman" w:cs="Times New Roman" w:eastAsia="Times New Roman" w:hAnsi="Times New Roman"/>
          <w:sz w:val="20"/>
          <w:szCs w:val="20"/>
          <w:color w:val="auto"/>
        </w:rPr>
      </w:pPr>
    </w:p>
    <w:p>
      <w:pPr>
        <w:jc w:val="both"/>
        <w:ind w:left="964" w:hanging="316"/>
        <w:spacing w:after="0" w:line="261" w:lineRule="auto"/>
        <w:tabs>
          <w:tab w:leader="none" w:pos="96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2(b), a “</w:t>
      </w:r>
      <w:r>
        <w:rPr>
          <w:rFonts w:ascii="Times New Roman" w:cs="Times New Roman" w:eastAsia="Times New Roman" w:hAnsi="Times New Roman"/>
          <w:sz w:val="20"/>
          <w:szCs w:val="20"/>
          <w:u w:val="single" w:color="auto"/>
          <w:color w:val="auto"/>
        </w:rPr>
        <w:t>prospective customer</w:t>
      </w:r>
      <w:r>
        <w:rPr>
          <w:rFonts w:ascii="Times New Roman" w:cs="Times New Roman" w:eastAsia="Times New Roman" w:hAnsi="Times New Roman"/>
          <w:sz w:val="20"/>
          <w:szCs w:val="20"/>
          <w:color w:val="auto"/>
        </w:rPr>
        <w:t>” of the Company or an Affiliate is a person or entity with whom the Company or an Affiliate was engaged in communications or negotiations to provide services with respect to Covered Products or to sell Covered Products during the Relevant Period.</w:t>
      </w:r>
    </w:p>
    <w:p>
      <w:pPr>
        <w:spacing w:after="0" w:line="208" w:lineRule="exact"/>
        <w:rPr>
          <w:rFonts w:ascii="Times New Roman" w:cs="Times New Roman" w:eastAsia="Times New Roman" w:hAnsi="Times New Roman"/>
          <w:sz w:val="20"/>
          <w:szCs w:val="20"/>
          <w:color w:val="auto"/>
        </w:rPr>
      </w:pPr>
    </w:p>
    <w:p>
      <w:pPr>
        <w:ind w:left="-656" w:right="20" w:firstLine="656"/>
        <w:spacing w:after="0" w:line="283" w:lineRule="auto"/>
        <w:tabs>
          <w:tab w:leader="none" w:pos="62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Non-Solicitation</w:t>
      </w:r>
      <w:r>
        <w:rPr>
          <w:rFonts w:ascii="Times New Roman" w:cs="Times New Roman" w:eastAsia="Times New Roman" w:hAnsi="Times New Roman"/>
          <w:sz w:val="20"/>
          <w:szCs w:val="20"/>
          <w:color w:val="auto"/>
        </w:rPr>
        <w:t>. During the Restricted Time, you will not in any way, including through another person acting on your recommendation, suggestion, identification or advice:</w:t>
      </w:r>
    </w:p>
    <w:p>
      <w:pPr>
        <w:spacing w:after="0" w:line="146" w:lineRule="exact"/>
        <w:rPr>
          <w:rFonts w:ascii="Times New Roman" w:cs="Times New Roman" w:eastAsia="Times New Roman" w:hAnsi="Times New Roman"/>
          <w:sz w:val="20"/>
          <w:szCs w:val="20"/>
          <w:color w:val="auto"/>
        </w:rPr>
      </w:pPr>
    </w:p>
    <w:p>
      <w:pPr>
        <w:ind w:left="964" w:hanging="316"/>
        <w:spacing w:after="0"/>
        <w:tabs>
          <w:tab w:leader="none" w:pos="96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employ or retain any person who is employed by the Company or an Affiliate; or</w:t>
      </w:r>
    </w:p>
    <w:p>
      <w:pPr>
        <w:spacing w:after="0" w:line="256" w:lineRule="exact"/>
        <w:rPr>
          <w:rFonts w:ascii="Times New Roman" w:cs="Times New Roman" w:eastAsia="Times New Roman" w:hAnsi="Times New Roman"/>
          <w:sz w:val="20"/>
          <w:szCs w:val="20"/>
          <w:color w:val="auto"/>
        </w:rPr>
      </w:pPr>
    </w:p>
    <w:p>
      <w:pPr>
        <w:jc w:val="both"/>
        <w:ind w:left="964" w:hanging="316"/>
        <w:spacing w:after="0" w:line="261" w:lineRule="auto"/>
        <w:tabs>
          <w:tab w:leader="none" w:pos="961"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induce or attempt to induce (A) any such person to terminate his or her employment with the Company or an Affiliate or to accept any position with any other person or entity, or (B) any prospective employee not to establish an employment relationship with the Company or an Affiliate.</w:t>
      </w:r>
    </w:p>
    <w:p>
      <w:pPr>
        <w:spacing w:after="0" w:line="208" w:lineRule="exact"/>
        <w:rPr>
          <w:rFonts w:ascii="Times New Roman" w:cs="Times New Roman" w:eastAsia="Times New Roman" w:hAnsi="Times New Roman"/>
          <w:sz w:val="20"/>
          <w:szCs w:val="20"/>
          <w:color w:val="auto"/>
        </w:rPr>
      </w:pPr>
    </w:p>
    <w:p>
      <w:pPr>
        <w:ind w:left="964" w:hanging="316"/>
        <w:spacing w:after="0" w:line="269" w:lineRule="auto"/>
        <w:tabs>
          <w:tab w:leader="none" w:pos="96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2(c), a “</w:t>
      </w:r>
      <w:r>
        <w:rPr>
          <w:rFonts w:ascii="Times New Roman" w:cs="Times New Roman" w:eastAsia="Times New Roman" w:hAnsi="Times New Roman"/>
          <w:sz w:val="20"/>
          <w:szCs w:val="20"/>
          <w:u w:val="single" w:color="auto"/>
          <w:color w:val="auto"/>
        </w:rPr>
        <w:t>prospective employee</w:t>
      </w:r>
      <w:r>
        <w:rPr>
          <w:rFonts w:ascii="Times New Roman" w:cs="Times New Roman" w:eastAsia="Times New Roman" w:hAnsi="Times New Roman"/>
          <w:sz w:val="20"/>
          <w:szCs w:val="20"/>
          <w:color w:val="auto"/>
        </w:rPr>
        <w:t>” is a person who was in communications or negotiations to become an employee of the Company or an Affiliate during the Relevant Period.</w:t>
      </w:r>
    </w:p>
    <w:p>
      <w:pPr>
        <w:sectPr>
          <w:pgSz w:w="11900" w:h="16838" w:orient="portrait"/>
          <w:cols w:equalWidth="0" w:num="1">
            <w:col w:w="10584"/>
          </w:cols>
          <w:pgMar w:left="976" w:top="1413" w:right="339" w:bottom="1440" w:gutter="0" w:footer="0" w:header="0"/>
        </w:sectPr>
      </w:pPr>
    </w:p>
    <w:bookmarkStart w:id="69" w:name="page70"/>
    <w:bookmarkEnd w:id="69"/>
    <w:p>
      <w:pPr>
        <w:ind w:left="328" w:hanging="328"/>
        <w:spacing w:after="0"/>
        <w:tabs>
          <w:tab w:leader="none" w:pos="32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332" w:firstLine="656"/>
        <w:spacing w:after="0" w:line="261" w:lineRule="auto"/>
        <w:tabs>
          <w:tab w:leader="none" w:pos="95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your employment and thereafter, you will hold in strictest confidence, and not use, except for the benefit of the Company and/or its Affiliates, or disclose to any person or entity without written authorization of an officer of the Company, any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except under a non-disclosure agreement duly authorized and executed by the Company.</w:t>
      </w:r>
    </w:p>
    <w:p>
      <w:pPr>
        <w:spacing w:after="0" w:line="194" w:lineRule="exact"/>
        <w:rPr>
          <w:rFonts w:ascii="Times New Roman" w:cs="Times New Roman" w:eastAsia="Times New Roman" w:hAnsi="Times New Roman"/>
          <w:sz w:val="20"/>
          <w:szCs w:val="20"/>
          <w:color w:val="auto"/>
        </w:rPr>
      </w:pPr>
    </w:p>
    <w:p>
      <w:pPr>
        <w:jc w:val="both"/>
        <w:ind w:left="-332" w:firstLine="656"/>
        <w:spacing w:after="0" w:line="252" w:lineRule="auto"/>
        <w:tabs>
          <w:tab w:leader="none" w:pos="96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includes nonpublic information pertaining to the Company and/or its Affiliates’ including, but not limited to, its and/or their strategic plans, advertising and marketing plans, sales plans, formulae, processes, methods, machines, ideas, concepts, new product developments, proposed launches, discontinuance of existing products, product and consumer testing data, sales and market research, technology research and development, budgets, profit and loss data, raw material costs, identity of suppliers, customer lists, customer information, improvements, inventions, personnel information (including information regarding other employees’ skills, performance, discipline and compensation), financial or business information and data, and associations with other organizations that the Company has not previously made public. “Confidential Information” also includes any third party’s information received by the Company and/or its Affiliates subject to an obligation, understanding or business practice of confidentiality, including information subject to confidentiality obligations under applicable law or contract.</w:t>
      </w:r>
    </w:p>
    <w:p>
      <w:pPr>
        <w:spacing w:after="0" w:line="216" w:lineRule="exact"/>
        <w:rPr>
          <w:rFonts w:ascii="Times New Roman" w:cs="Times New Roman" w:eastAsia="Times New Roman" w:hAnsi="Times New Roman"/>
          <w:sz w:val="20"/>
          <w:szCs w:val="20"/>
          <w:color w:val="auto"/>
        </w:rPr>
      </w:pPr>
    </w:p>
    <w:p>
      <w:pPr>
        <w:jc w:val="both"/>
        <w:ind w:left="-332" w:firstLine="656"/>
        <w:spacing w:after="0" w:line="253" w:lineRule="auto"/>
        <w:tabs>
          <w:tab w:leader="none" w:pos="95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does not include (i) information that can be shown by written evidence to be in the public domain at the time of disclosure by you or that is publicized or otherwise becomes part of the public domain through no fault of your own or the wrongdoing of a third party; or (ii) information that has become publicly known and made generally available through no act of yours or of others who were under confidentiality obligations as to the item or items involved or improvements or new versions thereof. In the event that you do not know whether specific information is regarded as Confidential Information hereunder, you will inquire from the Company and obtain the Company’s input thereon before treating the information as something other than Confidential Information.</w:t>
      </w:r>
    </w:p>
    <w:p>
      <w:pPr>
        <w:spacing w:after="0" w:line="205" w:lineRule="exact"/>
        <w:rPr>
          <w:rFonts w:ascii="Times New Roman" w:cs="Times New Roman" w:eastAsia="Times New Roman" w:hAnsi="Times New Roman"/>
          <w:sz w:val="20"/>
          <w:szCs w:val="20"/>
          <w:color w:val="auto"/>
        </w:rPr>
      </w:pPr>
    </w:p>
    <w:p>
      <w:pPr>
        <w:jc w:val="both"/>
        <w:ind w:left="-332" w:firstLine="656"/>
        <w:spacing w:after="0" w:line="251" w:lineRule="auto"/>
        <w:tabs>
          <w:tab w:leader="none" w:pos="96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hereby notified that under the U.S. Defend Trade Secrets Act of 2016: (1) no individual will be held criminally or civilly liable under U.S. federal or state trade secret law for the disclosure of a trade secret (as defined in the U.S. Economic Espionage Act) that: (A) is made in confidence to a U.S.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or arbitration proceeding, if the individual files any document containing the trade secret under seal, and does not disclose the trade secret, except as permitted by order in that proceeding.</w:t>
      </w:r>
    </w:p>
    <w:p>
      <w:pPr>
        <w:spacing w:after="0" w:line="222" w:lineRule="exact"/>
        <w:rPr>
          <w:rFonts w:ascii="Times New Roman" w:cs="Times New Roman" w:eastAsia="Times New Roman" w:hAnsi="Times New Roman"/>
          <w:sz w:val="20"/>
          <w:szCs w:val="20"/>
          <w:color w:val="auto"/>
        </w:rPr>
      </w:pPr>
    </w:p>
    <w:p>
      <w:pPr>
        <w:jc w:val="both"/>
        <w:ind w:left="-332" w:firstLine="656"/>
        <w:spacing w:after="0" w:line="253" w:lineRule="auto"/>
        <w:tabs>
          <w:tab w:leader="none" w:pos="95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is intended to or shall preclude you from: (i) providing truthful testimony on any non-privileged subject matter in response to a valid subpoena, court order, regulatory request or other judicial, administrative or legal process or otherwise as required by law; (ii) reporting, without any prior authorization from, or notification to, the Company, any good faith allegation of unlawful employment practices, criminal conduct or possible violations of law or regulation to any appropriate federal, state, or local governmental or regulatory agency, entity or official(s), including but not limited to the U.S. Securities and Exchange Commission, the U.S. National Labor Relations Board, the U.S. Equal Employment Opportunity Commission, or any analogous state or local government</w:t>
      </w:r>
    </w:p>
    <w:p>
      <w:pPr>
        <w:sectPr>
          <w:pgSz w:w="11900" w:h="16838" w:orient="portrait"/>
          <w:cols w:equalWidth="0" w:num="1">
            <w:col w:w="10908"/>
          </w:cols>
          <w:pgMar w:left="652" w:top="1413" w:right="339" w:bottom="1440" w:gutter="0" w:footer="0" w:header="0"/>
        </w:sectPr>
      </w:pPr>
    </w:p>
    <w:bookmarkStart w:id="70" w:name="page71"/>
    <w:bookmarkEnd w:id="70"/>
    <w:p>
      <w:pPr>
        <w:spacing w:after="0" w:line="271" w:lineRule="auto"/>
        <w:rPr>
          <w:sz w:val="20"/>
          <w:szCs w:val="20"/>
          <w:color w:val="auto"/>
        </w:rPr>
      </w:pPr>
      <w:r>
        <w:rPr>
          <w:rFonts w:ascii="Times New Roman" w:cs="Times New Roman" w:eastAsia="Times New Roman" w:hAnsi="Times New Roman"/>
          <w:sz w:val="19"/>
          <w:szCs w:val="19"/>
          <w:color w:val="auto"/>
        </w:rPr>
        <w:t>agencies (collectively, “</w:t>
      </w:r>
      <w:r>
        <w:rPr>
          <w:rFonts w:ascii="Times New Roman" w:cs="Times New Roman" w:eastAsia="Times New Roman" w:hAnsi="Times New Roman"/>
          <w:sz w:val="19"/>
          <w:szCs w:val="19"/>
          <w:u w:val="single" w:color="auto"/>
          <w:color w:val="auto"/>
        </w:rPr>
        <w:t>Governmental Authorities</w:t>
      </w:r>
      <w:r>
        <w:rPr>
          <w:rFonts w:ascii="Times New Roman" w:cs="Times New Roman" w:eastAsia="Times New Roman" w:hAnsi="Times New Roman"/>
          <w:sz w:val="19"/>
          <w:szCs w:val="19"/>
          <w:color w:val="auto"/>
        </w:rPr>
        <w:t>”), or making other disclosures that are protected under the whistleblower provisions of applicable federal, state, or local law or regulation; (iii) participating in any investigation or proceeding by any Governmental Authority; and</w:t>
      </w:r>
    </w:p>
    <w:p>
      <w:pPr>
        <w:spacing w:after="0" w:line="1" w:lineRule="exact"/>
        <w:rPr>
          <w:sz w:val="20"/>
          <w:szCs w:val="20"/>
          <w:color w:val="auto"/>
        </w:rPr>
      </w:pPr>
    </w:p>
    <w:p>
      <w:pPr>
        <w:ind w:firstLine="8"/>
        <w:spacing w:after="0" w:line="260" w:lineRule="auto"/>
        <w:tabs>
          <w:tab w:leader="none" w:pos="35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workplace issues including wages or other terms and conditions of employment or otherwise exercising your rights under Section 7 of the U.S. National Labor Relations Act.</w:t>
      </w:r>
    </w:p>
    <w:p>
      <w:pPr>
        <w:spacing w:after="0" w:line="168" w:lineRule="exact"/>
        <w:rPr>
          <w:rFonts w:ascii="Times New Roman" w:cs="Times New Roman" w:eastAsia="Times New Roman" w:hAnsi="Times New Roman"/>
          <w:sz w:val="20"/>
          <w:szCs w:val="20"/>
          <w:color w:val="auto"/>
        </w:rPr>
      </w:pPr>
    </w:p>
    <w:p>
      <w:pPr>
        <w:jc w:val="both"/>
        <w:ind w:firstLine="332"/>
        <w:spacing w:after="0" w:line="274" w:lineRule="auto"/>
        <w:tabs>
          <w:tab w:leader="none" w:pos="639"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Company Property</w:t>
      </w:r>
      <w:r>
        <w:rPr>
          <w:rFonts w:ascii="Times New Roman" w:cs="Times New Roman" w:eastAsia="Times New Roman" w:hAnsi="Times New Roman"/>
          <w:sz w:val="19"/>
          <w:szCs w:val="19"/>
          <w:color w:val="auto"/>
        </w:rPr>
        <w:t>. You agree that upon termination of your employment, you will promptly return to the Company all of its property, including, but not limited to, car stock, computers, personal digital assistants (“</w:t>
      </w:r>
      <w:r>
        <w:rPr>
          <w:rFonts w:ascii="Times New Roman" w:cs="Times New Roman" w:eastAsia="Times New Roman" w:hAnsi="Times New Roman"/>
          <w:sz w:val="19"/>
          <w:szCs w:val="19"/>
          <w:u w:val="single" w:color="auto"/>
          <w:color w:val="auto"/>
        </w:rPr>
        <w:t>PDAs</w:t>
      </w:r>
      <w:r>
        <w:rPr>
          <w:rFonts w:ascii="Times New Roman" w:cs="Times New Roman" w:eastAsia="Times New Roman" w:hAnsi="Times New Roman"/>
          <w:sz w:val="19"/>
          <w:szCs w:val="19"/>
          <w:color w:val="auto"/>
        </w:rPr>
        <w:t>”), tablets, cell phones, files, documents, identification cards, credit cards, keys, equipment, software and data, however stored. To the extent you have any Company material or information stored on any PDA or other personal computer, tablet, cell phone, cloud, email, thumb or hard drive or other personal device, you agree to permanently delete such material and information, subject to any litigation preservation directive that may be applicable to you.</w:t>
      </w:r>
    </w:p>
    <w:p>
      <w:pPr>
        <w:spacing w:after="0" w:line="183"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Reasonableness of Provisions</w:t>
      </w:r>
      <w:r>
        <w:rPr>
          <w:rFonts w:ascii="Times New Roman" w:cs="Times New Roman" w:eastAsia="Times New Roman" w:hAnsi="Times New Roman"/>
          <w:sz w:val="20"/>
          <w:szCs w:val="20"/>
          <w:color w:val="auto"/>
        </w:rPr>
        <w:t>. You agree that: (a) the terms and provisions of this Agreement (including Annex A) are reasonable;</w:t>
      </w:r>
    </w:p>
    <w:p>
      <w:pPr>
        <w:spacing w:after="0" w:line="28" w:lineRule="exact"/>
        <w:rPr>
          <w:rFonts w:ascii="Times New Roman" w:cs="Times New Roman" w:eastAsia="Times New Roman" w:hAnsi="Times New Roman"/>
          <w:sz w:val="20"/>
          <w:szCs w:val="20"/>
          <w:color w:val="auto"/>
        </w:rPr>
      </w:pPr>
    </w:p>
    <w:p>
      <w:pPr>
        <w:jc w:val="both"/>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the consideration provided by the Company under this Agreement is not illusory; (c) the Restrictive Covenants are necessary and reasonable for the protection of the legitimate business interests, Confidential Information and goodwill of the Company and its Affiliates; and (d) the consideration given by the Company under this Agreement gives rise to the Company’s interest in the Restrictive Covenants set forth in this Annex A.</w:t>
      </w:r>
    </w:p>
    <w:p>
      <w:pPr>
        <w:spacing w:after="0" w:line="202" w:lineRule="exact"/>
        <w:rPr>
          <w:rFonts w:ascii="Times New Roman" w:cs="Times New Roman" w:eastAsia="Times New Roman" w:hAnsi="Times New Roman"/>
          <w:sz w:val="20"/>
          <w:szCs w:val="20"/>
          <w:color w:val="auto"/>
        </w:rPr>
      </w:pPr>
    </w:p>
    <w:p>
      <w:pPr>
        <w:jc w:val="both"/>
        <w:ind w:firstLine="332"/>
        <w:spacing w:after="0" w:line="265" w:lineRule="auto"/>
        <w:tabs>
          <w:tab w:leader="none" w:pos="639"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Repayment and Forfeiture</w:t>
      </w:r>
      <w:r>
        <w:rPr>
          <w:rFonts w:ascii="Times New Roman" w:cs="Times New Roman" w:eastAsia="Times New Roman" w:hAnsi="Times New Roman"/>
          <w:sz w:val="19"/>
          <w:szCs w:val="19"/>
          <w:color w:val="auto"/>
        </w:rPr>
        <w:t>. You specifically recognize and affirm that each of the Restrictive Covenants is a material and important term of this Agreement which has induced the Company to provide for the award of the Options granted hereunder. You further agree that in the event that the Company determines that you have breached or attempted or threatened to breach any of the Restrictive Covenants, in addition to any other remedies and monetary damages (which may not be ascertainable) at law or in equity the Company may have available to it, (including but not limited to the equitable relief described below in Paragraph 7), the Company may in its sole discretion: (a) cancel any</w:t>
      </w:r>
    </w:p>
    <w:p>
      <w:pPr>
        <w:spacing w:after="0" w:line="3" w:lineRule="exact"/>
        <w:rPr>
          <w:rFonts w:ascii="Times New Roman" w:cs="Times New Roman" w:eastAsia="Times New Roman" w:hAnsi="Times New Roman"/>
          <w:sz w:val="19"/>
          <w:szCs w:val="19"/>
          <w:color w:val="auto"/>
        </w:rPr>
      </w:pPr>
    </w:p>
    <w:p>
      <w:pPr>
        <w:jc w:val="both"/>
        <w:ind w:firstLine="8"/>
        <w:spacing w:after="0" w:line="248" w:lineRule="auto"/>
        <w:tabs>
          <w:tab w:leader="none" w:pos="2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unvested Options granted hereunder, including Options that would otherwise have vested upon Retirement and (ii) vested but unexercised Options granted hereunder; and (b) require you to pay to the Company the Proceeds (as defined below) of any Options that were exercised at any time during the Look Back Period (as defined below). You will pay to the Company the Proceeds in cash upon demand, and the Company will be entitled to set-off against any amount due to you from the Company or an Affiliate, including but not limited to any bonus payments, the amount of any such Proceeds, to the extent that such set-off is not inconsistent with Code Section 409A or other applicable law. For purposes of this Paragraph 6, the term “</w:t>
      </w:r>
      <w:r>
        <w:rPr>
          <w:rFonts w:ascii="Times New Roman" w:cs="Times New Roman" w:eastAsia="Times New Roman" w:hAnsi="Times New Roman"/>
          <w:sz w:val="20"/>
          <w:szCs w:val="20"/>
          <w:u w:val="single" w:color="auto"/>
          <w:color w:val="auto"/>
        </w:rPr>
        <w:t>Proceeds</w:t>
      </w:r>
      <w:r>
        <w:rPr>
          <w:rFonts w:ascii="Times New Roman" w:cs="Times New Roman" w:eastAsia="Times New Roman" w:hAnsi="Times New Roman"/>
          <w:sz w:val="20"/>
          <w:szCs w:val="20"/>
          <w:color w:val="auto"/>
        </w:rPr>
        <w:t>” means the difference between the Option Exercise Price and the greater of (x) the Fair Market Value of the Shares on the date of exercise or (y) the amount realized upon the disposition of the underlying Shares. For avoidance of doubt, the amount of Proceeds shall be determined without regard to any taxes or amounts that may be deducted with respect to the exercise, sale or other disposition of the Option and/or the sale of the underlying Shares. The “</w:t>
      </w:r>
      <w:r>
        <w:rPr>
          <w:rFonts w:ascii="Times New Roman" w:cs="Times New Roman" w:eastAsia="Times New Roman" w:hAnsi="Times New Roman"/>
          <w:sz w:val="20"/>
          <w:szCs w:val="20"/>
          <w:u w:val="single" w:color="auto"/>
          <w:color w:val="auto"/>
        </w:rPr>
        <w:t>Look Back Period</w:t>
      </w:r>
      <w:r>
        <w:rPr>
          <w:rFonts w:ascii="Times New Roman" w:cs="Times New Roman" w:eastAsia="Times New Roman" w:hAnsi="Times New Roman"/>
          <w:sz w:val="20"/>
          <w:szCs w:val="20"/>
          <w:color w:val="auto"/>
        </w:rPr>
        <w:t>” means the longer of the following two periods: (i) the 12-month period immediately preceding the date on which the Company becomes aware of a breach or attempted or threatened breach of any of the Restrictive Covenants; or (ii) the six-month period immediately prior to the date of the termination of your employment with the Company or an Affiliate through the date on which the Company became aware of the breach or attempted or threatened breach, provided the date on which the Company becomes aware of the breach or attempted or threatened breach is no later than 12 months after the date of termination.</w:t>
      </w:r>
    </w:p>
    <w:p>
      <w:pPr>
        <w:spacing w:after="0" w:line="228" w:lineRule="exact"/>
        <w:rPr>
          <w:rFonts w:ascii="Times New Roman" w:cs="Times New Roman" w:eastAsia="Times New Roman" w:hAnsi="Times New Roman"/>
          <w:sz w:val="20"/>
          <w:szCs w:val="20"/>
          <w:color w:val="auto"/>
        </w:rPr>
      </w:pPr>
    </w:p>
    <w:p>
      <w:pPr>
        <w:jc w:val="both"/>
        <w:ind w:firstLine="332"/>
        <w:spacing w:after="0" w:line="261" w:lineRule="auto"/>
        <w:tabs>
          <w:tab w:leader="none" w:pos="63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Equitable Relief</w:t>
      </w:r>
      <w:r>
        <w:rPr>
          <w:rFonts w:ascii="Times New Roman" w:cs="Times New Roman" w:eastAsia="Times New Roman" w:hAnsi="Times New Roman"/>
          <w:sz w:val="20"/>
          <w:szCs w:val="20"/>
          <w:color w:val="auto"/>
        </w:rPr>
        <w:t>. You acknowledge that the services you provide to the Company and/or its Affiliate(s) are of a unique nature and that it would be difficult to replace such services. You also acknowledge that a breach of any of the Restrictive Covenants contained in this Agreement may cause</w:t>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51" w:lineRule="auto"/>
        <w:rPr>
          <w:sz w:val="20"/>
          <w:szCs w:val="20"/>
          <w:color w:val="auto"/>
        </w:rPr>
      </w:pPr>
      <w:r>
        <w:rPr>
          <w:rFonts w:ascii="Times New Roman" w:cs="Times New Roman" w:eastAsia="Times New Roman" w:hAnsi="Times New Roman"/>
          <w:sz w:val="20"/>
          <w:szCs w:val="20"/>
          <w:color w:val="auto"/>
        </w:rPr>
        <w:t>irreparable damage to the Company and its Affiliate(s), the exact amount of which would be difficult to ascertain, and that any remedies, including the repayment and forfeiture remedies set forth in Paragraph 6 of this Annex A and any remedies permissible under law, for any such breach or threatened breach would be inadequate. Accordingly, in the event the Company determines that you have breached or attempted or threatened to breach any of the Restrictive Covenants, in addition to any other remedies at law or in equity the Company may have available to it, it is agreed that the Company will be entitled to institute and prosecute proceedings in any court, tribunal or arbitrator of competent jurisdiction for specific performance, a temporary restraining order or preliminary injunction (without the necessity of (i) proving irreparable harm, (ii) establishing that monetary damages are inadequate or (iii) posting any bond with respect thereto) prohibiting such breach or attempted or threatened breach by proving only the existence of such breach or attempted or threatened breach.</w:t>
      </w:r>
    </w:p>
    <w:p>
      <w:pPr>
        <w:spacing w:after="0" w:line="222" w:lineRule="exact"/>
        <w:rPr>
          <w:sz w:val="20"/>
          <w:szCs w:val="20"/>
          <w:color w:val="auto"/>
        </w:rPr>
      </w:pPr>
    </w:p>
    <w:p>
      <w:pPr>
        <w:ind w:firstLine="332"/>
        <w:spacing w:after="0" w:line="269" w:lineRule="auto"/>
        <w:tabs>
          <w:tab w:leader="none" w:pos="63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Restrictive Period</w:t>
      </w:r>
      <w:r>
        <w:rPr>
          <w:rFonts w:ascii="Times New Roman" w:cs="Times New Roman" w:eastAsia="Times New Roman" w:hAnsi="Times New Roman"/>
          <w:sz w:val="20"/>
          <w:szCs w:val="20"/>
          <w:color w:val="auto"/>
        </w:rPr>
        <w:t>. You agree that the Restricted Time will be extended by any time during which you are in violation of any of the Restrictive Covenants.</w:t>
      </w:r>
    </w:p>
    <w:p>
      <w:pPr>
        <w:spacing w:after="0" w:line="199" w:lineRule="exact"/>
        <w:rPr>
          <w:rFonts w:ascii="Times New Roman" w:cs="Times New Roman" w:eastAsia="Times New Roman" w:hAnsi="Times New Roman"/>
          <w:sz w:val="20"/>
          <w:szCs w:val="20"/>
          <w:color w:val="auto"/>
        </w:rPr>
      </w:pPr>
    </w:p>
    <w:p>
      <w:pPr>
        <w:jc w:val="both"/>
        <w:ind w:firstLine="332"/>
        <w:spacing w:after="0" w:line="253" w:lineRule="auto"/>
        <w:tabs>
          <w:tab w:leader="none" w:pos="63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Acknowledgments</w:t>
      </w:r>
      <w:r>
        <w:rPr>
          <w:rFonts w:ascii="Times New Roman" w:cs="Times New Roman" w:eastAsia="Times New Roman" w:hAnsi="Times New Roman"/>
          <w:sz w:val="20"/>
          <w:szCs w:val="20"/>
          <w:color w:val="auto"/>
        </w:rPr>
        <w:t>. You and the Company agree that it is our mutual intent to enter into a valid and enforceable agreement. You and the Company acknowledge the reasonableness of the Restrictive Covenants, including the reasonableness of the geographic area, duration as to time and scope of activity restrained. You further acknowledge that your skills are such that you can be gainfully employed in noncompetitive employment and that the agreement not to compete will not prevent you from earning a living. You acknowledge that the remedies set forth in this Agreement are not the exclusive remedies and the Company may avail itself of other remedies at law or in equity in the event you breach any of the Restrictive Covenants.</w:t>
      </w:r>
    </w:p>
    <w:p>
      <w:pPr>
        <w:spacing w:after="0" w:line="219" w:lineRule="exact"/>
        <w:rPr>
          <w:rFonts w:ascii="Times New Roman" w:cs="Times New Roman" w:eastAsia="Times New Roman" w:hAnsi="Times New Roman"/>
          <w:sz w:val="20"/>
          <w:szCs w:val="20"/>
          <w:color w:val="auto"/>
        </w:rPr>
      </w:pPr>
    </w:p>
    <w:p>
      <w:pPr>
        <w:jc w:val="both"/>
        <w:ind w:firstLine="332"/>
        <w:spacing w:after="0" w:line="254" w:lineRule="auto"/>
        <w:tabs>
          <w:tab w:leader="none" w:pos="63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Independent</w:t>
      </w:r>
      <w:r>
        <w:rPr>
          <w:rFonts w:ascii="Times New Roman" w:cs="Times New Roman" w:eastAsia="Times New Roman" w:hAnsi="Times New Roman"/>
          <w:sz w:val="20"/>
          <w:szCs w:val="20"/>
          <w:color w:val="auto"/>
        </w:rPr>
        <w:t>. The Restrictive Covenants will be construed as an agreement independent of any other agreement, including any employee benefit agreement, and independent of any other provision of this Agreement, and the existence of any claim or cause of action you bring against the Company or an Affiliate, whether predicated upon this Agreement or otherwise, will not constitute a defense to the enforcement by the Company of such covenants.</w:t>
      </w:r>
    </w:p>
    <w:p>
      <w:pPr>
        <w:spacing w:after="0" w:line="214" w:lineRule="exact"/>
        <w:rPr>
          <w:rFonts w:ascii="Times New Roman" w:cs="Times New Roman" w:eastAsia="Times New Roman" w:hAnsi="Times New Roman"/>
          <w:sz w:val="20"/>
          <w:szCs w:val="20"/>
          <w:color w:val="auto"/>
        </w:rPr>
      </w:pPr>
    </w:p>
    <w:p>
      <w:pPr>
        <w:jc w:val="both"/>
        <w:ind w:firstLine="332"/>
        <w:spacing w:after="0" w:line="261" w:lineRule="auto"/>
        <w:tabs>
          <w:tab w:leader="none" w:pos="63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Subsequent Employer</w:t>
      </w:r>
      <w:r>
        <w:rPr>
          <w:rFonts w:ascii="Times New Roman" w:cs="Times New Roman" w:eastAsia="Times New Roman" w:hAnsi="Times New Roman"/>
          <w:sz w:val="20"/>
          <w:szCs w:val="20"/>
          <w:color w:val="auto"/>
        </w:rPr>
        <w:t>. You agree that the Company and/or Affiliate may notify any person or entity hiring or engaging you, or considering hiring or engaging you, to serve as a director, officer, employee, consultant, contractor or advisor, or to provide services or advice in any capacity, of the existence and provisions of this Agreement.</w:t>
      </w:r>
    </w:p>
    <w:p>
      <w:pPr>
        <w:spacing w:after="0" w:line="208" w:lineRule="exact"/>
        <w:rPr>
          <w:rFonts w:ascii="Times New Roman" w:cs="Times New Roman" w:eastAsia="Times New Roman" w:hAnsi="Times New Roman"/>
          <w:sz w:val="20"/>
          <w:szCs w:val="20"/>
          <w:color w:val="auto"/>
        </w:rPr>
      </w:pPr>
    </w:p>
    <w:p>
      <w:pPr>
        <w:jc w:val="both"/>
        <w:ind w:firstLine="332"/>
        <w:spacing w:after="0" w:line="251" w:lineRule="auto"/>
        <w:tabs>
          <w:tab w:leader="none" w:pos="63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THE RESTRICTIVE COVENANTS IN PARAGRAPH 2 OF THIS ANNEX A ARE SUBJECT TO THE SEVERABILITY OR REFORM BY COURT PROVISIONS SET FORTH IN SECTION C.7 OF THE AGREEMENT. TO THE EXTENT PERMISSIBLE, THE SCOPE OF THESE RESTRICTIONS SHOULD BE SUBJECT TO REFORMULATION BY A COURT OF COMPETENT JURISDICTION IN ORDER TO PROTECT THE LEGITIMATE BUSINESS INTERESTS OF THE COMPANY AND ITS AFFILIATES TO THE FULLEST EXTENT PERMITTED BY LAW. PARAGRAPH 2 OF THIS ANNEX A IS SEVERABLE AND WILL NOT APPLY TO, AND WILL NOT BE ENFORCED BY THE COMPANY WITH RESPECT TO, POST–TERMINATION ACTIVITY IN ANY JURISDICTION IN WHICH THIS PROHIBITION IS NOT ENFORCEABLE UNDER APPLICABLE LAW.</w:t>
      </w:r>
    </w:p>
    <w:p>
      <w:pPr>
        <w:sectPr>
          <w:pgSz w:w="11900" w:h="16838" w:orient="portrait"/>
          <w:cols w:equalWidth="0" w:num="1">
            <w:col w:w="11240"/>
          </w:cols>
          <w:pgMar w:left="320" w:top="1413" w:right="339" w:bottom="1440" w:gutter="0" w:footer="0" w:header="0"/>
        </w:sectPr>
      </w:pPr>
    </w:p>
    <w:bookmarkStart w:id="72" w:name="page73"/>
    <w:bookmarkEnd w:id="72"/>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COLGATE-PALMOLIVE COMPANY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2019 INCENTIVE COMPENSATION PLAN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NOTICE OF GRANT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&lt;&lt;Title&gt;&gt; &lt;&lt;First Name&gt;&gt; &lt;&lt;Last Name&gt;&gt;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Colgate-Palmolive Company</w:t>
      </w:r>
    </w:p>
    <w:p>
      <w:pPr>
        <w:spacing w:after="0" w:line="234"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You have been granted an award consisting of the following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in accordance with the attached Restricted Stock Unit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RSUs Granted: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Market Value of Common Stock on Grant Date: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Vesting Dates: </w:t>
      </w:r>
      <w:r>
        <w:rPr>
          <w:rFonts w:ascii="Times New Roman" w:cs="Times New Roman" w:eastAsia="Times New Roman" w:hAnsi="Times New Roman"/>
          <w:sz w:val="20"/>
          <w:szCs w:val="20"/>
          <w:color w:val="auto"/>
        </w:rPr>
        <w:t>Subject to the terms and conditions of the Agreement, the RSUs will vest in equal installments as follows:</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first 1/3 installment of the RSUs will vest on ________ ___, 20___</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second 1/3 installment of the RSUs will vest on ________ ___, 20___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last 1/3 installment of the RSUs will vest on ________ ___, 20___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Settlement Date</w:t>
      </w:r>
      <w:r>
        <w:rPr>
          <w:rFonts w:ascii="Times New Roman" w:cs="Times New Roman" w:eastAsia="Times New Roman" w:hAnsi="Times New Roman"/>
          <w:sz w:val="20"/>
          <w:szCs w:val="20"/>
          <w:color w:val="auto"/>
        </w:rPr>
        <w:t>: As soon as administratively practicable following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hanging="1"/>
        <w:spacing w:after="0" w:line="254" w:lineRule="auto"/>
        <w:rPr>
          <w:sz w:val="20"/>
          <w:szCs w:val="20"/>
          <w:color w:val="auto"/>
        </w:rPr>
      </w:pPr>
      <w:r>
        <w:rPr>
          <w:rFonts w:ascii="Times New Roman" w:cs="Times New Roman" w:eastAsia="Times New Roman" w:hAnsi="Times New Roman"/>
          <w:sz w:val="20"/>
          <w:szCs w:val="20"/>
          <w:color w:val="auto"/>
        </w:rPr>
        <w:t>This award is made under the Colgate-Palmolive Company 2019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is subject to the terms, conditions, limitations and restrictions contained in or established pursuant to the Plan, the Agreement, all requirements of applicable law and, if applicable, the Colgate-Palmolive Company Clawback Policy. Capitalized terms used in this Notice of Grant that are not defined in this Notice of Grant have the meanings as used or defined in the Agreement.</w:t>
      </w:r>
    </w:p>
    <w:p>
      <w:pPr>
        <w:spacing w:after="0" w:line="21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auto"/>
        </w:rPr>
        <w:t>Copies of the Plan, the Agreement and the Company’s Prospectus relating to the Plan are available via Merrill’s Benefits Online at www.benefits.ml.com, or if you prefer to receive a paper copy, they are available from the Company at 300 Park Avenue, New York, New York 10022, Attention: Mr. Marty Collins, EVP, Global Total Rewards and HR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 Restricted Stock Unit Award Agreement</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COLGATE-PALMOLIVE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COMPENSATION PLAN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w:t>
      </w:r>
    </w:p>
    <w:p>
      <w:pPr>
        <w:spacing w:after="0" w:line="2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RESTRICTED STOCK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effective as of the Grant Date indicated on the Restricted Stock Unit Notice of Grant delivered with this Agreement (the “</w:t>
      </w:r>
      <w:r>
        <w:rPr>
          <w:rFonts w:ascii="Times New Roman" w:cs="Times New Roman" w:eastAsia="Times New Roman" w:hAnsi="Times New Roman"/>
          <w:sz w:val="20"/>
          <w:szCs w:val="20"/>
          <w:u w:val="single" w:color="auto"/>
          <w:color w:val="auto"/>
        </w:rPr>
        <w:t>Notice of Grant</w:t>
      </w:r>
      <w:r>
        <w:rPr>
          <w:rFonts w:ascii="Times New Roman" w:cs="Times New Roman" w:eastAsia="Times New Roman" w:hAnsi="Times New Roman"/>
          <w:sz w:val="20"/>
          <w:szCs w:val="20"/>
          <w:color w:val="auto"/>
        </w:rPr>
        <w:t>”), is made and entered into by and between Colgate-Palmolive Company,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individual named on the Notice of Grant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Capitalized terms used and not otherwise defined in this Agreement will have the meanings set forth in the Colgate-Palmolive Company 2019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Applicable to RSUs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332"/>
        <w:spacing w:after="0" w:line="258" w:lineRule="auto"/>
        <w:tabs>
          <w:tab w:leader="none" w:pos="6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grants to you, on the terms and conditions set forth in this Agreement, the number of RSUs indicated on the Notice of Grant. Each RSU is equivalent to one Share. Your rights to the RSUs are subject to this Agreement (including the Notice of Grant) and the Plan (which is incorporated herein by reference with the same effect as if set forth herein in full) in addition to such other terms and conditions, if any, as may be imposed by law.</w:t>
      </w:r>
    </w:p>
    <w:p>
      <w:pPr>
        <w:spacing w:after="0" w:line="185" w:lineRule="exact"/>
        <w:rPr>
          <w:rFonts w:ascii="Times New Roman" w:cs="Times New Roman" w:eastAsia="Times New Roman" w:hAnsi="Times New Roman"/>
          <w:sz w:val="20"/>
          <w:szCs w:val="20"/>
          <w:color w:val="auto"/>
        </w:rPr>
      </w:pPr>
    </w:p>
    <w:p>
      <w:pPr>
        <w:jc w:val="both"/>
        <w:ind w:firstLine="332"/>
        <w:spacing w:after="0" w:line="254" w:lineRule="auto"/>
        <w:tabs>
          <w:tab w:leader="none" w:pos="6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The number of RSUs specified in the Notice of Grant (plus the RSUs representing any accrued Dividend Equivalents will vest on the vesting date indicated on the Notice of Grant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Except as provided in Section A.5 below, the RSUs will vest only if you remain continuously employed by the Company or an Affiliate during the entire period commencing on the Grant Date and ending on the Vesting Date (such period, the “</w:t>
      </w:r>
      <w:r>
        <w:rPr>
          <w:rFonts w:ascii="Times New Roman" w:cs="Times New Roman" w:eastAsia="Times New Roman" w:hAnsi="Times New Roman"/>
          <w:sz w:val="20"/>
          <w:szCs w:val="20"/>
          <w:u w:val="single" w:color="auto"/>
          <w:color w:val="auto"/>
        </w:rPr>
        <w:t>Vesting Period</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332"/>
        <w:spacing w:after="0" w:line="281" w:lineRule="auto"/>
        <w:tabs>
          <w:tab w:leader="none" w:pos="648"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 To the extent the RSUs (including RSUs representing any accrued Dividend Equivalents) vest, the Company will settle the vested RSUs in Shares with you receiving one Share for each RSU as soon as administratively practicable following the Vesting Date. No Shares will be delivered upon the vesting of the RSUs unless you have complied with your obligations under this Agreement and the Plan.</w:t>
      </w:r>
    </w:p>
    <w:p>
      <w:pPr>
        <w:spacing w:after="0" w:line="164" w:lineRule="exact"/>
        <w:rPr>
          <w:rFonts w:ascii="Times New Roman" w:cs="Times New Roman" w:eastAsia="Times New Roman" w:hAnsi="Times New Roman"/>
          <w:sz w:val="19"/>
          <w:szCs w:val="19"/>
          <w:color w:val="auto"/>
        </w:rPr>
      </w:pPr>
    </w:p>
    <w:p>
      <w:pPr>
        <w:jc w:val="both"/>
        <w:ind w:firstLine="332"/>
        <w:spacing w:after="0" w:line="261" w:lineRule="auto"/>
        <w:tabs>
          <w:tab w:leader="none" w:pos="6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During the Vesting Period, Dividend Equivalents will be credited on the RSUs in the form of additional RSUs. At the end of the Vesting Period, the RSUs plus RSUs representing any accrued Dividend Equivalents will be paid to you in the form of Shares. Any fractional Shares accrued from Dividend Equivalents, if applicable, will be paid in cash.</w:t>
      </w:r>
    </w:p>
    <w:p>
      <w:pPr>
        <w:spacing w:after="0" w:line="208" w:lineRule="exact"/>
        <w:rPr>
          <w:rFonts w:ascii="Times New Roman" w:cs="Times New Roman" w:eastAsia="Times New Roman" w:hAnsi="Times New Roman"/>
          <w:sz w:val="20"/>
          <w:szCs w:val="20"/>
          <w:color w:val="auto"/>
        </w:rPr>
      </w:pPr>
    </w:p>
    <w:p>
      <w:pPr>
        <w:jc w:val="both"/>
        <w:ind w:firstLine="332"/>
        <w:spacing w:after="0" w:line="254" w:lineRule="auto"/>
        <w:tabs>
          <w:tab w:leader="none" w:pos="6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 of Employment</w:t>
      </w:r>
      <w:r>
        <w:rPr>
          <w:rFonts w:ascii="Times New Roman" w:cs="Times New Roman" w:eastAsia="Times New Roman" w:hAnsi="Times New Roman"/>
          <w:sz w:val="20"/>
          <w:szCs w:val="20"/>
          <w:color w:val="auto"/>
        </w:rPr>
        <w:t>. The effect of a Termination of Employment on the RSUs is set forth in the Guidelines Regarding the Effect of Termination of Employment on Awards under the Plan adopted by the Committee on September 13, 2023, as such guidelines may be amended by the Committee from time to time. In addition, you are required to comply with the provisions regarding “Prohibited Conduct” set forth on Annex A to this Agreement. Annex A to this Agreement is part of this Agreement.</w:t>
      </w:r>
    </w:p>
    <w:p>
      <w:pPr>
        <w:spacing w:after="0" w:line="214" w:lineRule="exact"/>
        <w:rPr>
          <w:rFonts w:ascii="Times New Roman" w:cs="Times New Roman" w:eastAsia="Times New Roman" w:hAnsi="Times New Roman"/>
          <w:sz w:val="20"/>
          <w:szCs w:val="20"/>
          <w:color w:val="auto"/>
        </w:rPr>
      </w:pPr>
    </w:p>
    <w:p>
      <w:pPr>
        <w:jc w:val="both"/>
        <w:ind w:firstLine="8"/>
        <w:spacing w:after="0" w:line="261" w:lineRule="auto"/>
        <w:tabs>
          <w:tab w:leader="none" w:pos="6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Prohibited Conduct</w:t>
      </w:r>
      <w:r>
        <w:rPr>
          <w:rFonts w:ascii="Times New Roman" w:cs="Times New Roman" w:eastAsia="Times New Roman" w:hAnsi="Times New Roman"/>
          <w:sz w:val="20"/>
          <w:szCs w:val="20"/>
          <w:color w:val="auto"/>
        </w:rPr>
        <w:t>. In consideration of the grant by the Company of the RSUs and other good and valuable consideration, the receipt and sufficiency of which are hereby acknowledged, you and the Company, intending to be legally bound, agree to the provisions regarding “Prohibited Conduct” set forth on Annex A to this Agreement. Annex A to this Agreement is part of this Agreement.</w:t>
      </w:r>
    </w:p>
    <w:p>
      <w:pPr>
        <w:sectPr>
          <w:pgSz w:w="11900" w:h="16838" w:orient="portrait"/>
          <w:cols w:equalWidth="0" w:num="1">
            <w:col w:w="11240"/>
          </w:cols>
          <w:pgMar w:left="320" w:top="1440" w:right="339" w:bottom="1440" w:gutter="0" w:footer="0" w:header="0"/>
        </w:sectPr>
      </w:pPr>
    </w:p>
    <w:bookmarkStart w:id="74" w:name="page75"/>
    <w:bookmarkEnd w:id="74"/>
    <w:p>
      <w:pPr>
        <w:ind w:left="640" w:hanging="632"/>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 and Conditions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20" w:firstLine="332"/>
        <w:spacing w:after="0" w:line="269" w:lineRule="auto"/>
        <w:tabs>
          <w:tab w:leader="none" w:pos="64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 Adjustment for Change in Common Stock</w:t>
      </w:r>
      <w:r>
        <w:rPr>
          <w:rFonts w:ascii="Times New Roman" w:cs="Times New Roman" w:eastAsia="Times New Roman" w:hAnsi="Times New Roman"/>
          <w:sz w:val="20"/>
          <w:szCs w:val="20"/>
          <w:color w:val="auto"/>
        </w:rPr>
        <w:t>. The treatment of the RSUs in the event of a Change in Control, a Corporate Transaction or a Share Change will be governed by the Plan.</w:t>
      </w:r>
    </w:p>
    <w:p>
      <w:pPr>
        <w:spacing w:after="0" w:line="199"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International Appendix</w:t>
      </w:r>
      <w:r>
        <w:rPr>
          <w:rFonts w:ascii="Times New Roman" w:cs="Times New Roman" w:eastAsia="Times New Roman" w:hAnsi="Times New Roman"/>
          <w:sz w:val="20"/>
          <w:szCs w:val="20"/>
          <w:color w:val="auto"/>
        </w:rPr>
        <w:t>. If you work or reside outside the United States, the RSUs will be subject to the general non-United States terms and conditions and the special terms and conditions of your country set forth in the attached International Appendix and, to the extent there is any conflict between this Agreement and the International Appendix, the International Appendix will control. Moreover, if you relocate from the United States to one of the countries included in the International Appendix or you move between countries included in the International Appendix, the general non-United States terms and conditions and the special terms and conditions for such country will apply to you, to the extent the Company determines that the application of such terms and conditions is necessary or advisable. The International Appendix is part of this Agreement.</w:t>
      </w:r>
    </w:p>
    <w:p>
      <w:pPr>
        <w:spacing w:after="0" w:line="219" w:lineRule="exact"/>
        <w:rPr>
          <w:rFonts w:ascii="Times New Roman" w:cs="Times New Roman" w:eastAsia="Times New Roman" w:hAnsi="Times New Roman"/>
          <w:sz w:val="20"/>
          <w:szCs w:val="20"/>
          <w:color w:val="auto"/>
        </w:rPr>
      </w:pPr>
    </w:p>
    <w:p>
      <w:pPr>
        <w:jc w:val="both"/>
        <w:ind w:firstLine="332"/>
        <w:spacing w:after="0" w:line="252" w:lineRule="auto"/>
        <w:tabs>
          <w:tab w:leader="none" w:pos="64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to the Company under this Agreement will be addressed to the Chief Legal Officer and Secretary at the Company’s principal executive offices, and any notice to be given to you will be addressed to you at the address on file with the Company and/or the Company’s appointed third-party Plan administrator. Either the Company or you may designate a different address by written notice to the other. Written notice to said addresses will be effective to bind the Company and you and your representatives and beneficiaries. Any notice required or permitted hereunder will be (a) given in writing and will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referenced herein, or (b) delivered electronically (including any notices delivered by a third-party) and will be deemed effectively given upon such delivery.</w:t>
      </w:r>
    </w:p>
    <w:p>
      <w:pPr>
        <w:spacing w:after="0" w:line="202" w:lineRule="exact"/>
        <w:rPr>
          <w:rFonts w:ascii="Times New Roman" w:cs="Times New Roman" w:eastAsia="Times New Roman" w:hAnsi="Times New Roman"/>
          <w:sz w:val="20"/>
          <w:szCs w:val="20"/>
          <w:color w:val="auto"/>
        </w:rPr>
      </w:pPr>
    </w:p>
    <w:p>
      <w:pPr>
        <w:ind w:right="20" w:firstLine="332"/>
        <w:spacing w:after="0" w:line="283" w:lineRule="auto"/>
        <w:tabs>
          <w:tab w:leader="none" w:pos="64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inure to the benefit of and be binding upon the parties hereto and their respective heirs, beneficiaries, executors, administrators, representatives, successors and assigns.</w:t>
      </w:r>
    </w:p>
    <w:p>
      <w:pPr>
        <w:spacing w:after="0" w:line="173" w:lineRule="exact"/>
        <w:rPr>
          <w:rFonts w:ascii="Times New Roman" w:cs="Times New Roman" w:eastAsia="Times New Roman" w:hAnsi="Times New Roman"/>
          <w:sz w:val="20"/>
          <w:szCs w:val="20"/>
          <w:color w:val="auto"/>
        </w:rPr>
      </w:pPr>
    </w:p>
    <w:p>
      <w:pPr>
        <w:jc w:val="both"/>
        <w:ind w:firstLine="332"/>
        <w:spacing w:after="0" w:line="269" w:lineRule="auto"/>
        <w:tabs>
          <w:tab w:leader="none" w:pos="648"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Contract of Employment; Agreement’s Survival</w:t>
      </w:r>
      <w:r>
        <w:rPr>
          <w:rFonts w:ascii="Times New Roman" w:cs="Times New Roman" w:eastAsia="Times New Roman" w:hAnsi="Times New Roman"/>
          <w:sz w:val="19"/>
          <w:szCs w:val="19"/>
          <w:color w:val="auto"/>
        </w:rPr>
        <w:t>. Nothing contained in this Agreement will affect the right of the Company or an Affiliate to terminate your employment at any time, with or without Cause, or will be deemed to create any rights to employment on your part. The rights and obligations arising under this Agreement are not intended to and do not affect the employment relationship that otherwise exists between the Company or an Affiliate and you, whether such employment relationship is at will or defined by an employment contract. Moreover, this Agreement is not intended to and does not amend any existing employment contract between the Company and you. To the extent there is a conflict between this Agreement and such an employment contract as it relates to the RSUs awarded hereunder, the terms of this Agreement will govern and take priority. This Agreement will survive the termination of your employment for any reason.</w:t>
      </w:r>
    </w:p>
    <w:p>
      <w:pPr>
        <w:spacing w:after="0" w:line="202" w:lineRule="exact"/>
        <w:rPr>
          <w:rFonts w:ascii="Times New Roman" w:cs="Times New Roman" w:eastAsia="Times New Roman" w:hAnsi="Times New Roman"/>
          <w:sz w:val="19"/>
          <w:szCs w:val="19"/>
          <w:color w:val="auto"/>
        </w:rPr>
      </w:pPr>
    </w:p>
    <w:p>
      <w:pPr>
        <w:jc w:val="both"/>
        <w:ind w:firstLine="332"/>
        <w:spacing w:after="0" w:line="253" w:lineRule="auto"/>
        <w:tabs>
          <w:tab w:leader="none" w:pos="64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Waiver</w:t>
      </w:r>
      <w:r>
        <w:rPr>
          <w:rFonts w:ascii="Times New Roman" w:cs="Times New Roman" w:eastAsia="Times New Roman" w:hAnsi="Times New Roman"/>
          <w:sz w:val="20"/>
          <w:szCs w:val="20"/>
          <w:color w:val="auto"/>
        </w:rPr>
        <w:t>. The terms and conditions of this Agreement may be amended unilaterally by the Company, provided, however, that (a) no such amendment will be adverse to you without your written consent (except (i) as provided in Section A.5 above or (ii) to the extent the Company reasonably determines that such amendment is necessary or appropriate to comply with applicable law, including the provisions of Code Section 409A, stock exchange rules or accounting rules); and (b) the amendment must be permitted under the Plan. The Company’s failure to insist upon strict compliance with any provision of this Agreement or failure to exercise, or any delay in exercising, any right, power or remedy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75" w:name="page76"/>
    <w:bookmarkEnd w:id="75"/>
    <w:p>
      <w:pPr>
        <w:spacing w:after="0" w:line="283" w:lineRule="auto"/>
        <w:rPr>
          <w:sz w:val="20"/>
          <w:szCs w:val="20"/>
          <w:color w:val="auto"/>
        </w:rPr>
      </w:pPr>
      <w:r>
        <w:rPr>
          <w:rFonts w:ascii="Times New Roman" w:cs="Times New Roman" w:eastAsia="Times New Roman" w:hAnsi="Times New Roman"/>
          <w:sz w:val="20"/>
          <w:szCs w:val="20"/>
          <w:color w:val="auto"/>
        </w:rPr>
        <w:t>Agreement will not be deemed to be a waiver of such provision or any such right, power or remedy which the Board, the Committee or the Company has under this Agreement.</w:t>
      </w:r>
    </w:p>
    <w:p>
      <w:pPr>
        <w:spacing w:after="0" w:line="146" w:lineRule="exact"/>
        <w:rPr>
          <w:sz w:val="20"/>
          <w:szCs w:val="20"/>
          <w:color w:val="auto"/>
        </w:rPr>
      </w:pPr>
    </w:p>
    <w:p>
      <w:pPr>
        <w:jc w:val="both"/>
        <w:ind w:firstLine="332"/>
        <w:spacing w:after="0" w:line="253" w:lineRule="auto"/>
        <w:tabs>
          <w:tab w:leader="none" w:pos="6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 or Reform by Court</w:t>
      </w:r>
      <w:r>
        <w:rPr>
          <w:rFonts w:ascii="Times New Roman" w:cs="Times New Roman" w:eastAsia="Times New Roman" w:hAnsi="Times New Roman"/>
          <w:sz w:val="20"/>
          <w:szCs w:val="20"/>
          <w:color w:val="auto"/>
        </w:rPr>
        <w:t>. If any provision of this Agreement is declared or found to be illegal, unenforceable or void, in whole or in part, then the parties will be relieved of their respective obligations arising under such provision only to the extent that it is illegal, unenforceable or void, it being the intent and agreement of the parties that this Agreement will be deemed amended by modifying such provision to the fullest extent necessary to make it legal and enforceable while preserving its intent or, if that is not possible, by substituting therefor another provision that is legal and enforceable and achieves the same objectives. If any provision of this Agreement is declared or found to be illegal, unenforceable or void to any extent, the validity or enforceability of the remaining provisions of this Agreement will not be affected.</w:t>
      </w:r>
    </w:p>
    <w:p>
      <w:pPr>
        <w:spacing w:after="0" w:line="206"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The Plan, the granting and vesting of the RSUs, and any obligations of the Company under the Plan, will be subject to all applicable federal, state and foreign country laws, rules and regulations, and to such approvals by any regulatory or governmental agency as may be required, and to any rules or regulations of any exchange on which the Shares are listed. The Company, in its discretion, may postpone the vesting of the RSUs, the issuance or delivery of Shares under this Award or any other action permitted under the Plan to enable the Company to complete any required action under any federal, state or foreign country law, rule or regulation. The Company may require that you make such representations and agreements and furnish such information as the Company deems appropriate to assure compliance with or exemption from the requirements of any securities exchange, any foreign, federal, state or local law, any governmental regulatory body, or any other applicable legal requirement, and Shares will not be issued unless and until you make such representations and agreements and furnish such information as the Company deems appropriate. The Company will not be obligated by virtue of any provision of the Plan to recognize the vesting of the RSUs or to otherwise sell or issue Shares in violation of any such laws, rules or regulations. Neither the Company nor its directors or officers will have any obligation or liability to you caused by any postponement of the vesting or settlement of the RSUs (or Shares issuable thereunder).</w:t>
      </w:r>
    </w:p>
    <w:p>
      <w:pPr>
        <w:spacing w:after="0" w:line="205" w:lineRule="exact"/>
        <w:rPr>
          <w:rFonts w:ascii="Times New Roman" w:cs="Times New Roman" w:eastAsia="Times New Roman" w:hAnsi="Times New Roman"/>
          <w:sz w:val="20"/>
          <w:szCs w:val="20"/>
          <w:color w:val="auto"/>
        </w:rPr>
      </w:pPr>
    </w:p>
    <w:p>
      <w:pPr>
        <w:ind w:firstLine="332"/>
        <w:spacing w:after="0" w:line="283" w:lineRule="auto"/>
        <w:tabs>
          <w:tab w:leader="none" w:pos="6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Shareholder</w:t>
      </w:r>
      <w:r>
        <w:rPr>
          <w:rFonts w:ascii="Times New Roman" w:cs="Times New Roman" w:eastAsia="Times New Roman" w:hAnsi="Times New Roman"/>
          <w:sz w:val="20"/>
          <w:szCs w:val="20"/>
          <w:color w:val="auto"/>
        </w:rPr>
        <w:t>. Except as set forth in the Plan, neither you nor any person claiming under or through you will be, or will have any of the rights or privileges of, a holder of Shares with respect to the RSUs unless and until Shares are actually delivered to you.</w:t>
      </w:r>
    </w:p>
    <w:p>
      <w:pPr>
        <w:spacing w:after="0" w:line="186" w:lineRule="exact"/>
        <w:rPr>
          <w:rFonts w:ascii="Times New Roman" w:cs="Times New Roman" w:eastAsia="Times New Roman" w:hAnsi="Times New Roman"/>
          <w:sz w:val="20"/>
          <w:szCs w:val="20"/>
          <w:color w:val="auto"/>
        </w:rPr>
      </w:pPr>
    </w:p>
    <w:p>
      <w:pPr>
        <w:jc w:val="both"/>
        <w:ind w:firstLine="332"/>
        <w:spacing w:after="0" w:line="251" w:lineRule="auto"/>
        <w:tabs>
          <w:tab w:leader="none" w:pos="63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In addition to the rights of the Company set forth in Paragraph 6 of Annex A, you agree, if the Company in its reasonable judgment determines that you owe the Company and/or any Affiliate any amount due to any loan, note, obligation or indebtedness, including but not limited to amounts owed to the Company pursuant to the Company’s tax equalization program or the Company’s policies with respect to travel and business expenses, and if you have not satisfied such obligation(s), then the Company may, to the extent permitted by applicable law (including without limitation Code Section 409A) instruct the Plan administrator to withhold and/or sell Shares acquired by you upon settlement of the RSUs, or the Company may deduct funds equal to the amount of such obligation from other funds due to you from the Company or an Affiliate.</w:t>
      </w:r>
    </w:p>
    <w:p>
      <w:pPr>
        <w:spacing w:after="0" w:line="192" w:lineRule="exact"/>
        <w:rPr>
          <w:rFonts w:ascii="Times New Roman" w:cs="Times New Roman" w:eastAsia="Times New Roman" w:hAnsi="Times New Roman"/>
          <w:sz w:val="20"/>
          <w:szCs w:val="20"/>
          <w:color w:val="auto"/>
        </w:rPr>
      </w:pPr>
    </w:p>
    <w:p>
      <w:pPr>
        <w:jc w:val="both"/>
        <w:ind w:firstLine="332"/>
        <w:spacing w:after="0" w:line="258" w:lineRule="auto"/>
        <w:tabs>
          <w:tab w:leader="none" w:pos="63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including this Agreement, by electronic means or request your consent to participate in the Plan by electronic means. You hereby consent to receive such documents by electronic delivery and agree to participate in the Plan through an on-line or electronic system established and maintained by the Company or its appointed third-party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20"/>
          <w:szCs w:val="20"/>
          <w:color w:val="auto"/>
        </w:rPr>
        <w:t>administrator. The Agreement if delivered by electronic means with electronic signatures will be treated in all manner and respects as an original executed document and will be considered to have the same binding legal effect as if it were the original signed versions thereof delivered in person.</w:t>
      </w:r>
    </w:p>
    <w:p>
      <w:pPr>
        <w:spacing w:after="0" w:line="177" w:lineRule="exact"/>
        <w:rPr>
          <w:sz w:val="20"/>
          <w:szCs w:val="20"/>
          <w:color w:val="auto"/>
        </w:rPr>
      </w:pPr>
    </w:p>
    <w:p>
      <w:pPr>
        <w:jc w:val="both"/>
        <w:ind w:firstLine="332"/>
        <w:spacing w:after="0" w:line="254" w:lineRule="auto"/>
        <w:tabs>
          <w:tab w:leader="none" w:pos="63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By accepting the RSUs, you explicitly and unambiguously consent to the collection, use, transfer, holding, storage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 in electronic or other form, of your personal data as described in this Agreement and any other Award grant materials (“Data”) by and among, as applicable, the Company and its subsidiaries and Affiliates (collectively referred to in this Data Privacy section as the “Company”) and certain third party service providers including, but not limited to, Plan brokers, financial advisers and legal counsel, engaged by the Company (collectively, the “Providers”) for the purpose of implementing, administering and managing the Plan and complying with applicable laws, regulations and legislation.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You understand that the Data which may be collected, used, transferred, held, stored or disclosed by the Company and the Providers consists of certain Data about you, including, but not limited to, your name, home address, telephone number, date of birth, social insurance number or other government identification number, salary, nationality, job title, any Shares or directorships held in the Company, details of all RSUs or any other entitlement to Shares awarded, canceled, exercised, vested, unvested or outstanding. You further understand that such collection, use, transfer, holding, storage or disclosure of the Data may be necessary for the purpose of implementing, administering and managing the Plan and complying with applicable laws, regulations and legislation. You understand that the Company or the Providers may be located in the United States or elsewhere, and that the laws of the country in which the Company and the Providers collect, use, transfer, hold, store or disclose the Data may have different legal protections for the Data than your country. However, regardless of the location of the Data, the Company protects the Data through reasonable physical, technical and administrative safeguards and requires that the Providers also have such safeguards in place.</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You understand that you may, at any time, request a copy of your Data, request additional information about the storage and processing of Data, require any necessary amendments to Data or refuse or withdraw the consents herein, in any case without cost, by contacting your local human resources representative in writing. You understand that refusing or withdrawing your consent may affect your ability to participate in the Plan as more fully described below.</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You understand that you are providing the consent herein on a purely voluntary basis. If you do not consent, or if you later seek to revoke your consent, your employment status or service and career with your employer will not be adversely affected; the only adverse consequence of refusing or withdrawing your consent is that the Company would not be able to grant RSUs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332"/>
        <w:spacing w:after="0" w:line="257" w:lineRule="auto"/>
        <w:tabs>
          <w:tab w:leader="none" w:pos="63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Choice of Venue</w:t>
      </w:r>
      <w:r>
        <w:rPr>
          <w:rFonts w:ascii="Times New Roman" w:cs="Times New Roman" w:eastAsia="Times New Roman" w:hAnsi="Times New Roman"/>
          <w:sz w:val="20"/>
          <w:szCs w:val="20"/>
          <w:color w:val="auto"/>
        </w:rPr>
        <w:t>. This Agreement will be governed, construed and enforced in accordance with the laws of the State of Delaware and the United States, as applicable, without giving effect to conflict of law rules or principles thereof. Any action or proceeding seeking to enforce any provision of or based on any right arising out of this Agreement may be brought against you or the Company only in a federal or state court located in Delaware, and you and the Company each agree to submit yourself and your respective property to the exclusive jurisdiction of the foregoing courts with respect to such disputes.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77" w:name="page78"/>
    <w:bookmarkEnd w:id="77"/>
    <w:p>
      <w:pPr>
        <w:spacing w:after="0" w:line="216" w:lineRule="exact"/>
        <w:rPr>
          <w:sz w:val="20"/>
          <w:szCs w:val="20"/>
          <w:color w:val="auto"/>
        </w:rPr>
      </w:pPr>
    </w:p>
    <w:p>
      <w:pPr>
        <w:jc w:val="both"/>
        <w:ind w:firstLine="332"/>
        <w:spacing w:after="0" w:line="258" w:lineRule="auto"/>
        <w:tabs>
          <w:tab w:leader="none" w:pos="63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Incorporated</w:t>
      </w:r>
      <w:r>
        <w:rPr>
          <w:rFonts w:ascii="Times New Roman" w:cs="Times New Roman" w:eastAsia="Times New Roman" w:hAnsi="Times New Roman"/>
          <w:sz w:val="20"/>
          <w:szCs w:val="20"/>
          <w:color w:val="auto"/>
        </w:rPr>
        <w:t>. You accept the RSUs hereby granted subject to all the provisions of the Plan, which are incorporated into this Agreement, including the provisions that authorize the Committee to administer and interpret the Plan and which provide that the Committee’s decisions, determinations and interpretations with respect to the Plan are final and conclusive on all persons affected thereby. In the event of a conflict between this Agreement and the Plan, the Plan will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Grant Date.</w:t>
      </w: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COLGATE-PALMOLIVE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Using the Merrill Benefits Online system or other available means, you must accept the above RSUs in accordance with and subject to the terms and conditions of this Agreement and the Plan, acknowledge that you have read this Agreement and the Plan, and agree to be bound by this Agreement, the Plan and the actions of the Committee. If you do not do so within 180 days of the Grant Date indicated on the Notice of Grant, then the RSUs will become null and void and will be forfeited.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Prohibited Conduct</w:t>
      </w:r>
    </w:p>
    <w:p>
      <w:pPr>
        <w:spacing w:after="0" w:line="200" w:lineRule="exact"/>
        <w:rPr>
          <w:sz w:val="20"/>
          <w:szCs w:val="20"/>
          <w:color w:val="auto"/>
        </w:rPr>
      </w:pPr>
    </w:p>
    <w:p>
      <w:pPr>
        <w:spacing w:after="0" w:line="24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 corporation or other entity (i) controlled by, controlling or under common control with, the Company (including, without limitation, a corporation or other entity in which the Company has a 50% or more ownership interest) or (ii) designated by the Committee from time to time as such for purposes of the Plan.</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Products</w:t>
      </w:r>
      <w:r>
        <w:rPr>
          <w:rFonts w:ascii="Times New Roman" w:cs="Times New Roman" w:eastAsia="Times New Roman" w:hAnsi="Times New Roman"/>
          <w:sz w:val="20"/>
          <w:szCs w:val="20"/>
          <w:color w:val="auto"/>
        </w:rPr>
        <w:t>” means any product, composition, formulation, process, machine or service of any person or organization (other than the Company or an Affiliate) in existence, being researched or under development that competes with, or is intended to compete with, a product, composition, formulation, process, machine or service being researched or under development, produced, distributed, marketed, sold or licensed by the Company or an Affiliate (i) related to any aspect of any one or more of the Company’s or an Affiliate’s lines of business on which you have worked or provided services during the Relevant Period, or (ii) for which you have obtained, been provided or had access to confidential, proprietary and/or trade secret information of the Company or an Affiliate.</w:t>
      </w:r>
    </w:p>
    <w:p>
      <w:pPr>
        <w:spacing w:after="0" w:line="192"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Prohibited Geography</w:t>
      </w:r>
      <w:r>
        <w:rPr>
          <w:rFonts w:ascii="Times New Roman" w:cs="Times New Roman" w:eastAsia="Times New Roman" w:hAnsi="Times New Roman"/>
          <w:sz w:val="20"/>
          <w:szCs w:val="20"/>
          <w:color w:val="auto"/>
        </w:rPr>
        <w:t>” means any country, geography, territory, region or division with respect to which you have worked, provided services or had a material presence or influence for the Company or an Affiliate in any capacity.</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Period</w:t>
      </w:r>
      <w:r>
        <w:rPr>
          <w:rFonts w:ascii="Times New Roman" w:cs="Times New Roman" w:eastAsia="Times New Roman" w:hAnsi="Times New Roman"/>
          <w:sz w:val="20"/>
          <w:szCs w:val="20"/>
          <w:color w:val="auto"/>
        </w:rPr>
        <w:t>” means the 24-month period immediately prior to the termination of your employment with the Company or an Affiliate for any reason.</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Time</w:t>
      </w:r>
      <w:r>
        <w:rPr>
          <w:rFonts w:ascii="Times New Roman" w:cs="Times New Roman" w:eastAsia="Times New Roman" w:hAnsi="Times New Roman"/>
          <w:sz w:val="20"/>
          <w:szCs w:val="20"/>
          <w:color w:val="auto"/>
        </w:rPr>
        <w:t>” means the period during which you are employed by the Company or an Affiliate plus the 12-month period immediately following the termination of your employment with the Company or an Affiliate for any reason.</w:t>
      </w:r>
    </w:p>
    <w:p>
      <w:pPr>
        <w:spacing w:after="0" w:line="173" w:lineRule="exact"/>
        <w:rPr>
          <w:sz w:val="20"/>
          <w:szCs w:val="20"/>
          <w:color w:val="auto"/>
        </w:rPr>
      </w:pPr>
    </w:p>
    <w:p>
      <w:pPr>
        <w:ind w:right="20" w:firstLine="332"/>
        <w:spacing w:after="0" w:line="283"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Each of the covenants contained in Paragraphs 2(a)-(c) of this Annex A are collectively referred to as the “</w:t>
      </w: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Non-Compete</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1620" w:hanging="316"/>
        <w:spacing w:after="0" w:line="251" w:lineRule="auto"/>
        <w:tabs>
          <w:tab w:leader="none" w:pos="1611"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Restricted Time, you will not, without the prior written consent of the Company’s Chief Human Resources Officer or Chief Legal Officer, either directly or indirectly, for yourself or on behalf of or in conjunction with any other person, partnership, corporation or other entity, serve as a director, officer, employee, consultant, contractor or advisor of, provide services or advice in any capacity to, or acquire or hold any ownership interest in an entity that manufactures, markets, sells, develops, distributes or produces Covered Products in the Prohibited Geography, subject to applicable law. Notwithstanding the foregoing, you will not be considered to be in violation of this covenant solely by reason of owning, directly or indirectly, up to 5% in the aggregate of any class of securities of any corporation, partnership or other entity.</w:t>
      </w:r>
    </w:p>
    <w:p>
      <w:pPr>
        <w:sectPr>
          <w:pgSz w:w="11900" w:h="16838" w:orient="portrait"/>
          <w:cols w:equalWidth="0" w:num="1">
            <w:col w:w="11240"/>
          </w:cols>
          <w:pgMar w:left="320" w:top="1422" w:right="339" w:bottom="1440" w:gutter="0" w:footer="0" w:header="0"/>
        </w:sectPr>
      </w:pPr>
    </w:p>
    <w:bookmarkStart w:id="79" w:name="page80"/>
    <w:bookmarkEnd w:id="79"/>
    <w:p>
      <w:pPr>
        <w:jc w:val="both"/>
        <w:ind w:left="964" w:hanging="316"/>
        <w:spacing w:after="0" w:line="250" w:lineRule="auto"/>
        <w:tabs>
          <w:tab w:leader="none" w:pos="961"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termination of your employment with the Company or an Affiliate, you agree to disclose to your Human Resources Representative in writing, at least fourteen (14) days prior to your anticipated last day of employment with the Company or Affiliate, as applicable, the name of any new employer or other entity for whom you will be providing services or advice in any capacity and the scope of your role with that employer or other entity in order to allow the Company a reasonable period of time to determine whether that role is in breach of the Restrictive Covenants. You further agree that during the Restricted Time, you will provide notice to the Company as set forth in this subparagraph and pursuant to the Notices provision of Section C.3 of this Agreement, of any new employer or other new entity for whom you will be providing services or advice in any capacity, or new role with any employer or other entity, at least fourteen (14) days prior to assuming that new role to allow the Company a reasonable period of time to determine whether that role is in breach of the Restrictive Covenants.</w:t>
      </w:r>
    </w:p>
    <w:p>
      <w:pPr>
        <w:spacing w:after="0" w:line="22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Non-Interference</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964" w:hanging="316"/>
        <w:spacing w:after="0" w:line="266" w:lineRule="auto"/>
        <w:tabs>
          <w:tab w:leader="none" w:pos="96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Covered Products, during the Restricted Time, except on behalf of the Company or an Affiliate, you will not solicit or sell to (or attempt to solicit or sell to) any customer or prospective customer, or any supplier, licensee or other business relation of the Company or an Affiliate (each, a “</w:t>
      </w:r>
      <w:r>
        <w:rPr>
          <w:rFonts w:ascii="Times New Roman" w:cs="Times New Roman" w:eastAsia="Times New Roman" w:hAnsi="Times New Roman"/>
          <w:sz w:val="19"/>
          <w:szCs w:val="19"/>
          <w:u w:val="single" w:color="auto"/>
          <w:color w:val="auto"/>
        </w:rPr>
        <w:t>Restricted Third Party</w:t>
      </w:r>
      <w:r>
        <w:rPr>
          <w:rFonts w:ascii="Times New Roman" w:cs="Times New Roman" w:eastAsia="Times New Roman" w:hAnsi="Times New Roman"/>
          <w:sz w:val="19"/>
          <w:szCs w:val="19"/>
          <w:color w:val="auto"/>
        </w:rPr>
        <w:t>”) (a) for which, during your employment with the Company or an Affiliate, you, directly or indirectly, engaged or had responsibility on behalf of the Company or an Affiliate during the Relevant Period, or (b) for which you have obtained, been provided, or had access to confidential information of the Restricted Third Party, or (c) for which you have obtained, been provided or had access to Confidential Information (as such term is defined in Paragraph 3 below) pertaining to the Restricted Third Party.</w:t>
      </w:r>
    </w:p>
    <w:p>
      <w:pPr>
        <w:spacing w:after="0" w:line="208" w:lineRule="exact"/>
        <w:rPr>
          <w:sz w:val="20"/>
          <w:szCs w:val="20"/>
          <w:color w:val="auto"/>
        </w:rPr>
      </w:pPr>
    </w:p>
    <w:p>
      <w:pPr>
        <w:jc w:val="both"/>
        <w:ind w:left="964" w:hanging="316"/>
        <w:spacing w:after="0" w:line="261" w:lineRule="auto"/>
        <w:tabs>
          <w:tab w:leader="none" w:pos="961"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during the Restricted Time, you will not induce (or attempt to induce) any Restricted Third Party to cease or diminish doing business with the Company or an Affiliate or in any way interfere with the relationship between any Restricted Third Party and the Company or an Affiliate.</w:t>
      </w:r>
    </w:p>
    <w:p>
      <w:pPr>
        <w:spacing w:after="0" w:line="194" w:lineRule="exact"/>
        <w:rPr>
          <w:rFonts w:ascii="Times New Roman" w:cs="Times New Roman" w:eastAsia="Times New Roman" w:hAnsi="Times New Roman"/>
          <w:sz w:val="20"/>
          <w:szCs w:val="20"/>
          <w:color w:val="auto"/>
        </w:rPr>
      </w:pPr>
    </w:p>
    <w:p>
      <w:pPr>
        <w:jc w:val="both"/>
        <w:ind w:left="964" w:hanging="316"/>
        <w:spacing w:after="0" w:line="268" w:lineRule="auto"/>
        <w:tabs>
          <w:tab w:leader="none" w:pos="962"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2(b), a “</w:t>
      </w:r>
      <w:r>
        <w:rPr>
          <w:rFonts w:ascii="Times New Roman" w:cs="Times New Roman" w:eastAsia="Times New Roman" w:hAnsi="Times New Roman"/>
          <w:sz w:val="20"/>
          <w:szCs w:val="20"/>
          <w:u w:val="single" w:color="auto"/>
          <w:color w:val="auto"/>
        </w:rPr>
        <w:t>prospective customer</w:t>
      </w:r>
      <w:r>
        <w:rPr>
          <w:rFonts w:ascii="Times New Roman" w:cs="Times New Roman" w:eastAsia="Times New Roman" w:hAnsi="Times New Roman"/>
          <w:sz w:val="20"/>
          <w:szCs w:val="20"/>
          <w:color w:val="auto"/>
        </w:rPr>
        <w:t>” of the Company or an Affiliate is a person or entity with whom the Company or an Affiliate was engaged in communications or negotiations to provide services with respect to Covered Products or to sell Covered Products during the Relevant Period.</w:t>
      </w:r>
    </w:p>
    <w:p>
      <w:pPr>
        <w:spacing w:after="0" w:line="188" w:lineRule="exact"/>
        <w:rPr>
          <w:rFonts w:ascii="Times New Roman" w:cs="Times New Roman" w:eastAsia="Times New Roman" w:hAnsi="Times New Roman"/>
          <w:sz w:val="20"/>
          <w:szCs w:val="20"/>
          <w:color w:val="auto"/>
        </w:rPr>
      </w:pPr>
    </w:p>
    <w:p>
      <w:pPr>
        <w:ind w:left="-656" w:right="20" w:firstLine="656"/>
        <w:spacing w:after="0" w:line="283" w:lineRule="auto"/>
        <w:tabs>
          <w:tab w:leader="none" w:pos="62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Non-Solicitation</w:t>
      </w:r>
      <w:r>
        <w:rPr>
          <w:rFonts w:ascii="Times New Roman" w:cs="Times New Roman" w:eastAsia="Times New Roman" w:hAnsi="Times New Roman"/>
          <w:sz w:val="20"/>
          <w:szCs w:val="20"/>
          <w:color w:val="auto"/>
        </w:rPr>
        <w:t>. During the Restricted Time, you will not in any way, including through another person acting on your recommendation, suggestion, identification or advice:</w:t>
      </w:r>
    </w:p>
    <w:p>
      <w:pPr>
        <w:spacing w:after="0" w:line="146" w:lineRule="exact"/>
        <w:rPr>
          <w:rFonts w:ascii="Times New Roman" w:cs="Times New Roman" w:eastAsia="Times New Roman" w:hAnsi="Times New Roman"/>
          <w:sz w:val="20"/>
          <w:szCs w:val="20"/>
          <w:color w:val="auto"/>
        </w:rPr>
      </w:pPr>
    </w:p>
    <w:p>
      <w:pPr>
        <w:ind w:left="964" w:hanging="316"/>
        <w:spacing w:after="0"/>
        <w:tabs>
          <w:tab w:leader="none" w:pos="96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employ or retain any person who is employed by the Company or an Affiliate; or</w:t>
      </w:r>
    </w:p>
    <w:p>
      <w:pPr>
        <w:spacing w:after="0" w:line="256" w:lineRule="exact"/>
        <w:rPr>
          <w:rFonts w:ascii="Times New Roman" w:cs="Times New Roman" w:eastAsia="Times New Roman" w:hAnsi="Times New Roman"/>
          <w:sz w:val="20"/>
          <w:szCs w:val="20"/>
          <w:color w:val="auto"/>
        </w:rPr>
      </w:pPr>
    </w:p>
    <w:p>
      <w:pPr>
        <w:jc w:val="both"/>
        <w:ind w:left="964" w:hanging="316"/>
        <w:spacing w:after="0" w:line="261" w:lineRule="auto"/>
        <w:tabs>
          <w:tab w:leader="none" w:pos="961"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induce or attempt to induce (A) any such person to terminate his or her employment with the Company or an Affiliate or to accept any position with any other person or entity, or (B) any prospective employee not to establish an employment relationship with the Company or an Affiliate.</w:t>
      </w:r>
    </w:p>
    <w:p>
      <w:pPr>
        <w:sectPr>
          <w:pgSz w:w="11900" w:h="16838" w:orient="portrait"/>
          <w:cols w:equalWidth="0" w:num="1">
            <w:col w:w="10584"/>
          </w:cols>
          <w:pgMar w:left="976" w:top="1413" w:right="339" w:bottom="1440" w:gutter="0" w:footer="0" w:header="0"/>
        </w:sectPr>
      </w:pPr>
    </w:p>
    <w:bookmarkStart w:id="80" w:name="page81"/>
    <w:bookmarkEnd w:id="80"/>
    <w:p>
      <w:pPr>
        <w:ind w:left="1288" w:hanging="316"/>
        <w:spacing w:after="0" w:line="283" w:lineRule="auto"/>
        <w:tabs>
          <w:tab w:leader="none" w:pos="1286"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2(c), a “</w:t>
      </w:r>
      <w:r>
        <w:rPr>
          <w:rFonts w:ascii="Times New Roman" w:cs="Times New Roman" w:eastAsia="Times New Roman" w:hAnsi="Times New Roman"/>
          <w:sz w:val="20"/>
          <w:szCs w:val="20"/>
          <w:u w:val="single" w:color="auto"/>
          <w:color w:val="auto"/>
        </w:rPr>
        <w:t>prospective employee</w:t>
      </w:r>
      <w:r>
        <w:rPr>
          <w:rFonts w:ascii="Times New Roman" w:cs="Times New Roman" w:eastAsia="Times New Roman" w:hAnsi="Times New Roman"/>
          <w:sz w:val="20"/>
          <w:szCs w:val="20"/>
          <w:color w:val="auto"/>
        </w:rPr>
        <w:t>” is a person who was in communications or negotiations to become an employee of the Company or an Affiliate during the Relevant Period.</w:t>
      </w:r>
    </w:p>
    <w:p>
      <w:pPr>
        <w:spacing w:after="0" w:line="173"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332" w:firstLine="656"/>
        <w:spacing w:after="0" w:line="261" w:lineRule="auto"/>
        <w:tabs>
          <w:tab w:leader="none" w:pos="95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your employment and thereafter, you will hold in strictest confidence, and not use, except for the benefit of the Company and/or its Affiliates, or disclose to any person or entity without written authorization of an officer of the Company, any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except under a non-disclosure agreement duly authorized and executed by the Company.</w:t>
      </w:r>
    </w:p>
    <w:p>
      <w:pPr>
        <w:spacing w:after="0" w:line="208" w:lineRule="exact"/>
        <w:rPr>
          <w:rFonts w:ascii="Times New Roman" w:cs="Times New Roman" w:eastAsia="Times New Roman" w:hAnsi="Times New Roman"/>
          <w:sz w:val="20"/>
          <w:szCs w:val="20"/>
          <w:color w:val="auto"/>
        </w:rPr>
      </w:pPr>
    </w:p>
    <w:p>
      <w:pPr>
        <w:jc w:val="both"/>
        <w:ind w:left="-332" w:firstLine="656"/>
        <w:spacing w:after="0" w:line="250" w:lineRule="auto"/>
        <w:tabs>
          <w:tab w:leader="none" w:pos="96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includes nonpublic information pertaining to the Company and/or its Affiliates’ including, but not limited to, its and/or their strategic plans, advertising and marketing plans, sales plans, formulae, processes, methods, machines, ideas, concepts, new product developments, proposed launches, discontinuance of existing products, product and consumer testing data, sales and market research, technology research and development, budgets, profit and loss data, raw material costs, identity of suppliers, customer lists, customer information, improvements, inventions, personnel information (including information regarding other employees’ skills, performance, discipline and compensation), financial or business information and data, and associations with other organizations that the Company has not previously made public. “Confidential Information” also includes any third party’s information received by the Company and/or its Affiliates subject to an obligation, understanding or business practice of confidentiality, including information subject to confidentiality obligations under applicable law or contract.</w:t>
      </w:r>
    </w:p>
    <w:p>
      <w:pPr>
        <w:spacing w:after="0" w:line="219" w:lineRule="exact"/>
        <w:rPr>
          <w:rFonts w:ascii="Times New Roman" w:cs="Times New Roman" w:eastAsia="Times New Roman" w:hAnsi="Times New Roman"/>
          <w:sz w:val="20"/>
          <w:szCs w:val="20"/>
          <w:color w:val="auto"/>
        </w:rPr>
      </w:pPr>
    </w:p>
    <w:p>
      <w:pPr>
        <w:jc w:val="both"/>
        <w:ind w:left="-332" w:firstLine="656"/>
        <w:spacing w:after="0" w:line="256" w:lineRule="auto"/>
        <w:tabs>
          <w:tab w:leader="none" w:pos="95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does not include (i) information that can be shown by written evidence to be in the public domain at the time of disclosure by you or that is publicized or otherwise becomes part of the public domain through no fault of your own or the wrongdoing of a third party</w:t>
      </w:r>
      <w:r>
        <w:rPr>
          <w:rFonts w:ascii="Times New Roman" w:cs="Times New Roman" w:eastAsia="Times New Roman" w:hAnsi="Times New Roman"/>
          <w:sz w:val="21"/>
          <w:szCs w:val="21"/>
          <w:color w:val="auto"/>
        </w:rPr>
        <w:t>; or (ii) information</w:t>
      </w:r>
      <w:r>
        <w:rPr>
          <w:rFonts w:ascii="Times New Roman" w:cs="Times New Roman" w:eastAsia="Times New Roman" w:hAnsi="Times New Roman"/>
          <w:sz w:val="20"/>
          <w:szCs w:val="20"/>
          <w:color w:val="auto"/>
        </w:rPr>
        <w:t xml:space="preserve"> that has become publicly known and made generally available through no act of yours or of others who were under confidentiality obligations as to the item or items involved or improvements or new versions thereof. In the event that you do not know whether specific information is regarded as Confidential Information hereunder, you will inquire from the Company and obtain the Company’s input thereon before treating the information as something other than Confidential Information.</w:t>
      </w:r>
    </w:p>
    <w:p>
      <w:pPr>
        <w:spacing w:after="0" w:line="203" w:lineRule="exact"/>
        <w:rPr>
          <w:rFonts w:ascii="Times New Roman" w:cs="Times New Roman" w:eastAsia="Times New Roman" w:hAnsi="Times New Roman"/>
          <w:sz w:val="20"/>
          <w:szCs w:val="20"/>
          <w:color w:val="auto"/>
        </w:rPr>
      </w:pPr>
    </w:p>
    <w:p>
      <w:pPr>
        <w:jc w:val="both"/>
        <w:ind w:left="-332" w:firstLine="656"/>
        <w:spacing w:after="0" w:line="253" w:lineRule="auto"/>
        <w:tabs>
          <w:tab w:leader="none" w:pos="96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hereby notified that under the U.S. Defend Trade Secrets Act of 2016: (1) no individual will be held criminally or civilly liable under U.S. federal or state trade secret law for the disclosure of a trade secret (as defined in the U.S. Economic Espionage Act) that: (A) is made in confidence to a U.S.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or arbitration proceeding, if the individual files any document containing the trade secret under seal, and does not disclose the trade secret, except as permitted by order in that proceeding.</w:t>
      </w:r>
    </w:p>
    <w:p>
      <w:pPr>
        <w:spacing w:after="0" w:line="207" w:lineRule="exact"/>
        <w:rPr>
          <w:rFonts w:ascii="Times New Roman" w:cs="Times New Roman" w:eastAsia="Times New Roman" w:hAnsi="Times New Roman"/>
          <w:sz w:val="20"/>
          <w:szCs w:val="20"/>
          <w:color w:val="auto"/>
        </w:rPr>
      </w:pPr>
    </w:p>
    <w:p>
      <w:pPr>
        <w:jc w:val="both"/>
        <w:ind w:left="-332" w:firstLine="656"/>
        <w:spacing w:after="0" w:line="261" w:lineRule="auto"/>
        <w:tabs>
          <w:tab w:leader="none" w:pos="95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is intended to or shall preclude you from: (i) providing truthful testimony on any non-privileged subject matter in response to a valid subpoena, court order, regulatory request or other judicial, administrative or legal process or otherwise as required by law; (ii)</w:t>
      </w:r>
    </w:p>
    <w:p>
      <w:pPr>
        <w:sectPr>
          <w:pgSz w:w="11900" w:h="16838" w:orient="portrait"/>
          <w:cols w:equalWidth="0" w:num="1">
            <w:col w:w="10908"/>
          </w:cols>
          <w:pgMar w:left="652" w:top="1413" w:right="339" w:bottom="1440" w:gutter="0" w:footer="0" w:header="0"/>
        </w:sectPr>
      </w:pPr>
    </w:p>
    <w:bookmarkStart w:id="81" w:name="page82"/>
    <w:bookmarkEnd w:id="81"/>
    <w:p>
      <w:pPr>
        <w:jc w:val="both"/>
        <w:spacing w:after="0" w:line="251" w:lineRule="auto"/>
        <w:rPr>
          <w:sz w:val="20"/>
          <w:szCs w:val="20"/>
          <w:color w:val="auto"/>
        </w:rPr>
      </w:pPr>
      <w:r>
        <w:rPr>
          <w:rFonts w:ascii="Times New Roman" w:cs="Times New Roman" w:eastAsia="Times New Roman" w:hAnsi="Times New Roman"/>
          <w:sz w:val="20"/>
          <w:szCs w:val="20"/>
          <w:color w:val="auto"/>
        </w:rPr>
        <w:t>reporting, without any prior authorization from, or notification to, the Company, any good faith allegation of unlawful employment practices, criminal conduct or possible violations of law or regulation to any appropriate federal, state, or local governmental or regulatory agency, entity or official(s), including but not limited to the U.S. Securities and Exchange Commission, the U.S. National Labor Relations Board, the U.S. Equal Employment Opportunity Commission, or any analogous state or local government agencies (collectively, “</w:t>
      </w:r>
      <w:r>
        <w:rPr>
          <w:rFonts w:ascii="Times New Roman" w:cs="Times New Roman" w:eastAsia="Times New Roman" w:hAnsi="Times New Roman"/>
          <w:sz w:val="20"/>
          <w:szCs w:val="20"/>
          <w:u w:val="single" w:color="auto"/>
          <w:color w:val="auto"/>
        </w:rPr>
        <w:t>Governmental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Authorities</w:t>
      </w:r>
      <w:r>
        <w:rPr>
          <w:rFonts w:ascii="Times New Roman" w:cs="Times New Roman" w:eastAsia="Times New Roman" w:hAnsi="Times New Roman"/>
          <w:sz w:val="20"/>
          <w:szCs w:val="20"/>
          <w:color w:val="auto"/>
        </w:rPr>
        <w:t>”), or making other disclosures that are protected under the whistleblower provisions of applicable federal, state, or local law or regulation; (iii) participating in any investigation or proceeding by any Governmental Authority; and (iv) discussing workplace issues including wages or other terms and conditions of employment or otherwise exercising your rights under Section 7 of the U.S. National Labor Relations Act.</w:t>
      </w:r>
    </w:p>
    <w:p>
      <w:pPr>
        <w:spacing w:after="0" w:line="195" w:lineRule="exact"/>
        <w:rPr>
          <w:sz w:val="20"/>
          <w:szCs w:val="20"/>
          <w:color w:val="auto"/>
        </w:rPr>
      </w:pPr>
    </w:p>
    <w:p>
      <w:pPr>
        <w:jc w:val="both"/>
        <w:ind w:firstLine="332"/>
        <w:spacing w:after="0" w:line="270" w:lineRule="auto"/>
        <w:tabs>
          <w:tab w:leader="none" w:pos="639"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Company Property</w:t>
      </w:r>
      <w:r>
        <w:rPr>
          <w:rFonts w:ascii="Times New Roman" w:cs="Times New Roman" w:eastAsia="Times New Roman" w:hAnsi="Times New Roman"/>
          <w:sz w:val="19"/>
          <w:szCs w:val="19"/>
          <w:color w:val="auto"/>
        </w:rPr>
        <w:t>. You agree that upon termination of your employment, you will promptly return to the Company all of its property, including, but not limited to, car stock, computers, personal digital assistants (“</w:t>
      </w:r>
      <w:r>
        <w:rPr>
          <w:rFonts w:ascii="Times New Roman" w:cs="Times New Roman" w:eastAsia="Times New Roman" w:hAnsi="Times New Roman"/>
          <w:sz w:val="19"/>
          <w:szCs w:val="19"/>
          <w:u w:val="single" w:color="auto"/>
          <w:color w:val="auto"/>
        </w:rPr>
        <w:t>PDAs</w:t>
      </w:r>
      <w:r>
        <w:rPr>
          <w:rFonts w:ascii="Times New Roman" w:cs="Times New Roman" w:eastAsia="Times New Roman" w:hAnsi="Times New Roman"/>
          <w:sz w:val="19"/>
          <w:szCs w:val="19"/>
          <w:color w:val="auto"/>
        </w:rPr>
        <w:t>”), tablets, cell phones, files, documents, identification cards, credit cards, keys, equipment, software and data, however stored. To the extent you have any Company material or information stored on any PDA or other personal computer, tablet, cell phone, cloud, email, thumb or hard drive or other personal device, you agree to permanently delete such material and information, subject to any litigation preservation directive that may be applicable to you.</w:t>
      </w:r>
    </w:p>
    <w:p>
      <w:pPr>
        <w:spacing w:after="0" w:line="202"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Reasonableness of Provisions</w:t>
      </w:r>
      <w:r>
        <w:rPr>
          <w:rFonts w:ascii="Times New Roman" w:cs="Times New Roman" w:eastAsia="Times New Roman" w:hAnsi="Times New Roman"/>
          <w:sz w:val="20"/>
          <w:szCs w:val="20"/>
          <w:color w:val="auto"/>
        </w:rPr>
        <w:t>. You agree that: (a) the terms and provisions of this Agreement (including Annex A) are reasonable;</w:t>
      </w:r>
    </w:p>
    <w:p>
      <w:pPr>
        <w:spacing w:after="0" w:line="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consideration provided by the Company under this Agreement is not illusory; (c) the Restrictive Covenants are necessary and</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reasonable for the protection of the legitimate business interests, Confidential Information and goodwill of the Company and its Affiliates; and (d) the consideration given by the Company under this Agreement gives rise to the Company’s interest in the Restrictive Covenants set forth in this Annex A.</w:t>
      </w:r>
    </w:p>
    <w:p>
      <w:pPr>
        <w:spacing w:after="0" w:line="216" w:lineRule="exact"/>
        <w:rPr>
          <w:sz w:val="20"/>
          <w:szCs w:val="20"/>
          <w:color w:val="auto"/>
        </w:rPr>
      </w:pPr>
    </w:p>
    <w:p>
      <w:pPr>
        <w:jc w:val="both"/>
        <w:ind w:firstLine="332"/>
        <w:spacing w:after="0" w:line="263" w:lineRule="auto"/>
        <w:tabs>
          <w:tab w:leader="none" w:pos="63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Repayment and Forfeiture</w:t>
      </w:r>
      <w:r>
        <w:rPr>
          <w:rFonts w:ascii="Times New Roman" w:cs="Times New Roman" w:eastAsia="Times New Roman" w:hAnsi="Times New Roman"/>
          <w:sz w:val="19"/>
          <w:szCs w:val="19"/>
          <w:color w:val="auto"/>
        </w:rPr>
        <w:t>. You specifically recognize and affirm that each of the Restrictive Covenants is a material and important term of this Agreement which has induced the Company to provide for the award of the RSUs granted hereunder. You further agree that in the event that the Company determines that you have breached or attempted or threatened to breach any of the Restrictive Covenants, in addition to any other remedies and monetary damages (which may not be ascertainable) at law or in equity the Company may have available to it, (including but not limited to the equitable relief described below in Paragraph 7), the Company may in its sole discretion: (a) cancel any unvested RSUs granted hereunder, including unvested RSUs that would otherwise have vested upon Retirement; and (b) require you to pay to the Company the Proceeds (as defined below) of any RSUs that vested during the Look Back Period (as defined below). You will pay to the Company the Proceeds in cash upon demand, and the Company will be entitled to set off against any amount due to you from the Company or an Affiliate, including but not limited to any bonus payments, the amount of any such Proceeds, to the extent that such set-off is not inconsistent with Code Section 409A or other applicable law. For purposes of this Paragraph 6, the term “</w:t>
      </w:r>
      <w:r>
        <w:rPr>
          <w:rFonts w:ascii="Times New Roman" w:cs="Times New Roman" w:eastAsia="Times New Roman" w:hAnsi="Times New Roman"/>
          <w:sz w:val="19"/>
          <w:szCs w:val="19"/>
          <w:u w:val="single" w:color="auto"/>
          <w:color w:val="auto"/>
        </w:rPr>
        <w:t>Proceeds</w:t>
      </w:r>
      <w:r>
        <w:rPr>
          <w:rFonts w:ascii="Times New Roman" w:cs="Times New Roman" w:eastAsia="Times New Roman" w:hAnsi="Times New Roman"/>
          <w:sz w:val="19"/>
          <w:szCs w:val="19"/>
          <w:color w:val="auto"/>
        </w:rPr>
        <w:t>” means the aggregate value of the Shares covered by the RSUs that have vested, determined based on the Fair Market Value of such Shares on the applicable vesting date. For the avoidance of doubt, the amount of Proceeds shall be determined without regard to any taxes or amounts that may be deducted with respect to the vesting of the RSUs. The “</w:t>
      </w:r>
      <w:r>
        <w:rPr>
          <w:rFonts w:ascii="Times New Roman" w:cs="Times New Roman" w:eastAsia="Times New Roman" w:hAnsi="Times New Roman"/>
          <w:sz w:val="19"/>
          <w:szCs w:val="19"/>
          <w:u w:val="single" w:color="auto"/>
          <w:color w:val="auto"/>
        </w:rPr>
        <w:t>Look Back Period</w:t>
      </w:r>
      <w:r>
        <w:rPr>
          <w:rFonts w:ascii="Times New Roman" w:cs="Times New Roman" w:eastAsia="Times New Roman" w:hAnsi="Times New Roman"/>
          <w:sz w:val="19"/>
          <w:szCs w:val="19"/>
          <w:color w:val="auto"/>
        </w:rPr>
        <w:t>” means the longer of the following two periods: (i) the 12-month period immediately preceding the date on which the Company becomes aware of a breach or attempted or threatened breach of any of the Restrictive Covenants; or (ii) the six-month period immediately prior to the date of the termination of your employment with the Company or an Affiliate through the date on which the Company became aware of the breach or attempted or threatened breach, provided the date on which the Company becomes aware of the breach or attempted or threatened breach is no later than 12 months after the date of termination.</w:t>
      </w:r>
    </w:p>
    <w:p>
      <w:pPr>
        <w:sectPr>
          <w:pgSz w:w="11900" w:h="16838" w:orient="portrait"/>
          <w:cols w:equalWidth="0" w:num="1">
            <w:col w:w="11240"/>
          </w:cols>
          <w:pgMar w:left="320" w:top="1413" w:right="339" w:bottom="1440" w:gutter="0" w:footer="0" w:header="0"/>
        </w:sectPr>
      </w:pPr>
    </w:p>
    <w:bookmarkStart w:id="82" w:name="page83"/>
    <w:bookmarkEnd w:id="82"/>
    <w:p>
      <w:pPr>
        <w:spacing w:after="0" w:line="216" w:lineRule="exact"/>
        <w:rPr>
          <w:sz w:val="20"/>
          <w:szCs w:val="20"/>
          <w:color w:val="auto"/>
        </w:rPr>
      </w:pPr>
    </w:p>
    <w:p>
      <w:pPr>
        <w:jc w:val="both"/>
        <w:ind w:left="-332" w:firstLine="332"/>
        <w:spacing w:after="0" w:line="250" w:lineRule="auto"/>
        <w:tabs>
          <w:tab w:leader="none" w:pos="3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Equitable Relief</w:t>
      </w:r>
      <w:r>
        <w:rPr>
          <w:rFonts w:ascii="Times New Roman" w:cs="Times New Roman" w:eastAsia="Times New Roman" w:hAnsi="Times New Roman"/>
          <w:sz w:val="20"/>
          <w:szCs w:val="20"/>
          <w:color w:val="auto"/>
        </w:rPr>
        <w:t>. You acknowledge that the services you provide to the Company and/or its Affiliate(s) are of a unique nature and that it would be difficult to replace such services. You also acknowledge that a breach of any of the Restrictive Covenants contained in this Agreement may cause irreparable damage to the Company and its Affiliate(s), the exact amount of which would be difficult to ascertain, and that any remedies, including the repayment and forfeiture remedies set forth in Paragraph 6 of this Annex A and any remedies permissible under law, for any such breach or threatened breach would be inadequate. Accordingly, in the event the Company determines that you have breached or attempted or threatened to breach any of the Restrictive Covenants, in addition to any other remedies at law or in equity the Company may have available to it, it is agreed that the Company will be entitled to institute and prosecute proceedings in any court, tribunal or arbitrator of competent jurisdiction for specific performance, a temporary restraining order or preliminary injunction (without the necessity of (i) proving irreparable harm, (ii) establishing that monetary damages are inadequate or (iii) posting any bond with respect thereto) prohibiting such breach or attempted or threatened breach by proving only the existence of such breach or attempted or threatened breach.</w:t>
      </w:r>
    </w:p>
    <w:p>
      <w:pPr>
        <w:spacing w:after="0" w:line="226" w:lineRule="exact"/>
        <w:rPr>
          <w:rFonts w:ascii="Times New Roman" w:cs="Times New Roman" w:eastAsia="Times New Roman" w:hAnsi="Times New Roman"/>
          <w:sz w:val="20"/>
          <w:szCs w:val="20"/>
          <w:color w:val="auto"/>
        </w:rPr>
      </w:pPr>
    </w:p>
    <w:p>
      <w:pPr>
        <w:ind w:left="-332" w:firstLine="332"/>
        <w:spacing w:after="0" w:line="269" w:lineRule="auto"/>
        <w:tabs>
          <w:tab w:leader="none" w:pos="3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Restrictive Period</w:t>
      </w:r>
      <w:r>
        <w:rPr>
          <w:rFonts w:ascii="Times New Roman" w:cs="Times New Roman" w:eastAsia="Times New Roman" w:hAnsi="Times New Roman"/>
          <w:sz w:val="20"/>
          <w:szCs w:val="20"/>
          <w:color w:val="auto"/>
        </w:rPr>
        <w:t>. You agree that the Restricted Time will be extended by any time during which you are in violation of any of the Restrictive Covenants.</w:t>
      </w:r>
    </w:p>
    <w:p>
      <w:pPr>
        <w:spacing w:after="0" w:line="199" w:lineRule="exact"/>
        <w:rPr>
          <w:rFonts w:ascii="Times New Roman" w:cs="Times New Roman" w:eastAsia="Times New Roman" w:hAnsi="Times New Roman"/>
          <w:sz w:val="20"/>
          <w:szCs w:val="20"/>
          <w:color w:val="auto"/>
        </w:rPr>
      </w:pPr>
    </w:p>
    <w:p>
      <w:pPr>
        <w:jc w:val="both"/>
        <w:ind w:left="-332" w:firstLine="332"/>
        <w:spacing w:after="0" w:line="253" w:lineRule="auto"/>
        <w:tabs>
          <w:tab w:leader="none" w:pos="3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Acknowledgments</w:t>
      </w:r>
      <w:r>
        <w:rPr>
          <w:rFonts w:ascii="Times New Roman" w:cs="Times New Roman" w:eastAsia="Times New Roman" w:hAnsi="Times New Roman"/>
          <w:sz w:val="20"/>
          <w:szCs w:val="20"/>
          <w:color w:val="auto"/>
        </w:rPr>
        <w:t>. You and the Company agree that it is our mutual intent to enter into a valid and enforceable agreement. You and the Company acknowledge the reasonableness of the Restrictive Covenants, including the reasonableness of the geographic area, duration as to time and scope of activity restrained. You further acknowledge that your skills are such that you can be gainfully employed in noncompetitive employment and that the agreement not to compete will not prevent you from earning a living. You acknowledge that the remedies set forth in this Agreement are not the exclusive remedies and the Company may avail itself of other remedies at law or in equity in the event you breach any of the Restrictive Covenants.</w:t>
      </w:r>
    </w:p>
    <w:p>
      <w:pPr>
        <w:spacing w:after="0" w:line="205" w:lineRule="exact"/>
        <w:rPr>
          <w:rFonts w:ascii="Times New Roman" w:cs="Times New Roman" w:eastAsia="Times New Roman" w:hAnsi="Times New Roman"/>
          <w:sz w:val="20"/>
          <w:szCs w:val="20"/>
          <w:color w:val="auto"/>
        </w:rPr>
      </w:pPr>
    </w:p>
    <w:p>
      <w:pPr>
        <w:jc w:val="both"/>
        <w:ind w:left="-332" w:firstLine="332"/>
        <w:spacing w:after="0" w:line="258" w:lineRule="auto"/>
        <w:tabs>
          <w:tab w:leader="none" w:pos="3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Independent</w:t>
      </w:r>
      <w:r>
        <w:rPr>
          <w:rFonts w:ascii="Times New Roman" w:cs="Times New Roman" w:eastAsia="Times New Roman" w:hAnsi="Times New Roman"/>
          <w:sz w:val="20"/>
          <w:szCs w:val="20"/>
          <w:color w:val="auto"/>
        </w:rPr>
        <w:t>. The Restrictive Covenants will be construed as an agreement independent of any other agreement, including any employee benefit agreement, and independent of any other provision of this Agreement, and the existence of any claim or cause of action you bring against the Company or an Affiliate, whether predicated upon this Agreement or otherwise, will not constitute a defense to the enforcement by the Company of such covenants.</w:t>
      </w:r>
    </w:p>
    <w:p>
      <w:pPr>
        <w:spacing w:after="0" w:line="212" w:lineRule="exact"/>
        <w:rPr>
          <w:rFonts w:ascii="Times New Roman" w:cs="Times New Roman" w:eastAsia="Times New Roman" w:hAnsi="Times New Roman"/>
          <w:sz w:val="20"/>
          <w:szCs w:val="20"/>
          <w:color w:val="auto"/>
        </w:rPr>
      </w:pPr>
    </w:p>
    <w:p>
      <w:pPr>
        <w:jc w:val="both"/>
        <w:ind w:left="-332" w:firstLine="332"/>
        <w:spacing w:after="0" w:line="261" w:lineRule="auto"/>
        <w:tabs>
          <w:tab w:leader="none" w:pos="3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Subsequent Employer</w:t>
      </w:r>
      <w:r>
        <w:rPr>
          <w:rFonts w:ascii="Times New Roman" w:cs="Times New Roman" w:eastAsia="Times New Roman" w:hAnsi="Times New Roman"/>
          <w:sz w:val="20"/>
          <w:szCs w:val="20"/>
          <w:color w:val="auto"/>
        </w:rPr>
        <w:t>. You agree that the Company and/or Affiliate may notify any person or entity hiring or engaging you, or considering hiring or engaging you, to serve as a director, officer, employee, consultant, contractor or advisor, or to provide services or advice in any capacity, of the existence and provisions of this Agreement.</w:t>
      </w:r>
    </w:p>
    <w:p>
      <w:pPr>
        <w:spacing w:after="0" w:line="194" w:lineRule="exact"/>
        <w:rPr>
          <w:rFonts w:ascii="Times New Roman" w:cs="Times New Roman" w:eastAsia="Times New Roman" w:hAnsi="Times New Roman"/>
          <w:sz w:val="20"/>
          <w:szCs w:val="20"/>
          <w:color w:val="auto"/>
        </w:rPr>
      </w:pPr>
    </w:p>
    <w:p>
      <w:pPr>
        <w:jc w:val="both"/>
        <w:ind w:left="-332" w:firstLine="332"/>
        <w:spacing w:after="0" w:line="253" w:lineRule="auto"/>
        <w:tabs>
          <w:tab w:leader="none" w:pos="3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THE RESTRICTIVE COVENANTS IN PARAGRAPH 2 OF THIS ANNEX A ARE SUBJECT TO THE SEVERABILITY OR REFORM BY COURT PROVISIONS SET FORTH IN SECTION C.7 OF THE AGREEMENT. TO THE EXTENT PERMISSIBLE, THE SCOPE OF THESE RESTRICTIONS SHOULD BE SUBJECT TO REFORMULATION BY A COURT OF COMPETENT JURISDICTION IN ORDER TO PROTECT THE LEGITIMATE BUSINESS INTERESTS OF THE COMPANY AND ITS AFFILIATES TO THE FULLEST EXTENT PERMITTED BY LAW. PARAGRAPH 2 OF THIS ANNEX A IS SEVERABLE AND WILL NOT APPLY TO, AND WILL NOT BE ENFORCED BY THE COMPANY WITH RESPECT TO, POST–TERMINATION ACTIVITY IN ANY JURISDICTION IN WHICH THIS PROHIBITION IS NOT ENFORCEABLE UNDER APPLICABLE LAW.</w:t>
      </w:r>
    </w:p>
    <w:p>
      <w:pPr>
        <w:sectPr>
          <w:pgSz w:w="11900" w:h="16838" w:orient="portrait"/>
          <w:cols w:equalWidth="0" w:num="1">
            <w:col w:w="10908"/>
          </w:cols>
          <w:pgMar w:left="652" w:top="144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Noel R. Wallace, certify that:</w:t>
      </w:r>
    </w:p>
    <w:p>
      <w:pPr>
        <w:spacing w:after="0" w:line="117"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Colgate-Palmolive Company;</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2024</w:t>
      </w:r>
    </w:p>
    <w:p>
      <w:pPr>
        <w:spacing w:after="0" w:line="9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Noel R.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Noel R. Wallace</w:t>
      </w:r>
    </w:p>
    <w:p>
      <w:pPr>
        <w:spacing w:after="0" w:line="2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Chairman of the Board, President and</w:t>
      </w:r>
    </w:p>
    <w:p>
      <w:pPr>
        <w:jc w:val="center"/>
        <w:ind w:left="64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Stanley J. Sutula III, certify that:</w:t>
      </w:r>
    </w:p>
    <w:p>
      <w:pPr>
        <w:spacing w:after="0" w:line="117"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Colgate-Palmolive Company;</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2024</w:t>
      </w:r>
    </w:p>
    <w:p>
      <w:pPr>
        <w:spacing w:after="0" w:line="90"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8"/>
          <w:szCs w:val="18"/>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Stanley J. Sutula III</w:t>
      </w:r>
    </w:p>
    <w:p>
      <w:pPr>
        <w:spacing w:after="0" w:line="63"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85" w:name="page86"/>
    <w:bookmarkEnd w:id="85"/>
    <w:p>
      <w:pPr>
        <w:ind w:left="102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undersigned Chairman of the Board, President and Chief Executive Officer and Chief Financial Officer of Colgate-Palmolive Company each certify, pursuant to Rule 13a-14(b) under the Securities Exchange Act of 1934 and 18 U.S.C. § 1350, that:</w:t>
      </w:r>
    </w:p>
    <w:p>
      <w:pPr>
        <w:spacing w:after="0" w:line="283" w:lineRule="exact"/>
        <w:rPr>
          <w:sz w:val="20"/>
          <w:szCs w:val="20"/>
          <w:color w:val="auto"/>
        </w:rPr>
      </w:pPr>
    </w:p>
    <w:p>
      <w:pPr>
        <w:ind w:left="660" w:right="380" w:hanging="328"/>
        <w:spacing w:after="0" w:line="282" w:lineRule="auto"/>
        <w:tabs>
          <w:tab w:leader="none" w:pos="6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30, 2024 (the “Report”) which this statement accompanies fully complies with the requirements of Sections 13(a) and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Colgate-Palmolive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2024</w:t>
      </w:r>
    </w:p>
    <w:p>
      <w:pPr>
        <w:spacing w:after="0" w:line="17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Noel R.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Noel R. Wallace</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Chairman of the Board, President and</w:t>
      </w:r>
    </w:p>
    <w:p>
      <w:pPr>
        <w:spacing w:after="0" w:line="3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4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Stanley J. Sutula III</w:t>
      </w:r>
    </w:p>
    <w:p>
      <w:pPr>
        <w:spacing w:after="0" w:line="6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3"/>
    </w:lvl>
  </w:abstractNum>
  <w:abstractNum w:abstractNumId="6">
    <w:nsid w:val="614FD4A1"/>
    <w:multiLevelType w:val="hybridMultilevel"/>
    <w:lvl w:ilvl="0">
      <w:lvlJc w:val="left"/>
      <w:lvlText w:val="%1."/>
      <w:numFmt w:val="decimal"/>
      <w:start w:val="4"/>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5"/>
    </w:lvl>
  </w:abstractNum>
  <w:abstractNum w:abstractNumId="9">
    <w:nsid w:val="440BADFC"/>
    <w:multiLevelType w:val="hybridMultilevel"/>
    <w:lvl w:ilvl="0">
      <w:lvlJc w:val="left"/>
      <w:lvlText w:val="%1."/>
      <w:numFmt w:val="decimal"/>
      <w:start w:val="6"/>
    </w:lvl>
  </w:abstractNum>
  <w:abstractNum w:abstractNumId="10">
    <w:nsid w:val="5072367"/>
    <w:multiLevelType w:val="hybridMultilevel"/>
    <w:lvl w:ilvl="0">
      <w:lvlJc w:val="left"/>
      <w:lvlText w:val="%1."/>
      <w:numFmt w:val="decimal"/>
      <w:start w:val="7"/>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8"/>
    </w:lvl>
  </w:abstractNum>
  <w:abstractNum w:abstractNumId="13">
    <w:nsid w:val="7724C67E"/>
    <w:multiLevelType w:val="hybridMultilevel"/>
    <w:lvl w:ilvl="0">
      <w:lvlJc w:val="left"/>
      <w:lvlText w:val="%1."/>
      <w:numFmt w:val="decimal"/>
      <w:start w:val="9"/>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32"/>
    </w:lvl>
  </w:abstractNum>
  <w:abstractNum w:abstractNumId="24">
    <w:nsid w:val="2A487CB0"/>
    <w:multiLevelType w:val="hybridMultilevel"/>
    <w:lvl w:ilvl="0">
      <w:lvlJc w:val="left"/>
      <w:lvlText w:val="%1"/>
      <w:numFmt w:val="decimal"/>
      <w:start w:val="10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upperLetter"/>
      <w:start w:val="1"/>
    </w:lvl>
    <w:lvl w:ilvl="1">
      <w:lvlJc w:val="left"/>
      <w:lvlText w:val="%2."/>
      <w:numFmt w:val="decimal"/>
      <w:start w:val="1"/>
    </w:lvl>
  </w:abstractNum>
  <w:abstractNum w:abstractNumId="27">
    <w:nsid w:val="2CD89A32"/>
    <w:multiLevelType w:val="hybridMultilevel"/>
    <w:lvl w:ilvl="0">
      <w:lvlJc w:val="left"/>
      <w:lvlText w:val="%1"/>
      <w:numFmt w:val="upperLetter"/>
      <w:start w:val="1"/>
    </w:lvl>
    <w:lvl w:ilvl="1">
      <w:lvlJc w:val="left"/>
      <w:lvlText w:val="%2."/>
      <w:numFmt w:val="decimal"/>
      <w:start w:val="4"/>
    </w:lvl>
  </w:abstractNum>
  <w:abstractNum w:abstractNumId="28">
    <w:nsid w:val="57E4CCAF"/>
    <w:multiLevelType w:val="hybridMultilevel"/>
    <w:lvl w:ilvl="0">
      <w:lvlJc w:val="left"/>
      <w:lvlText w:val="%1."/>
      <w:numFmt w:val="upperLetter"/>
      <w:start w:val="3"/>
    </w:lvl>
    <w:lvl w:ilvl="1">
      <w:lvlJc w:val="left"/>
      <w:lvlText w:val="%2."/>
      <w:numFmt w:val="decimal"/>
      <w:start w:val="1"/>
    </w:lvl>
  </w:abstractNum>
  <w:abstractNum w:abstractNumId="29">
    <w:nsid w:val="7A6D8D3C"/>
    <w:multiLevelType w:val="hybridMultilevel"/>
    <w:lvl w:ilvl="0">
      <w:lvlJc w:val="left"/>
      <w:lvlText w:val="%1."/>
      <w:numFmt w:val="decimal"/>
      <w:start w:val="6"/>
    </w:lvl>
  </w:abstractNum>
  <w:abstractNum w:abstractNumId="30">
    <w:nsid w:val="4B588F54"/>
    <w:multiLevelType w:val="hybridMultilevel"/>
    <w:lvl w:ilvl="0">
      <w:lvlJc w:val="left"/>
      <w:lvlText w:val="%1."/>
      <w:numFmt w:val="decimal"/>
      <w:start w:val="10"/>
    </w:lvl>
  </w:abstractNum>
  <w:abstractNum w:abstractNumId="31">
    <w:nsid w:val="542289EC"/>
    <w:multiLevelType w:val="hybridMultilevel"/>
    <w:lvl w:ilvl="0">
      <w:lvlJc w:val="left"/>
      <w:lvlText w:val="%1."/>
      <w:numFmt w:val="decimal"/>
      <w:start w:val="13"/>
    </w:lvl>
  </w:abstractNum>
  <w:abstractNum w:abstractNumId="32">
    <w:nsid w:val="6DE91B18"/>
    <w:multiLevelType w:val="hybridMultilevel"/>
    <w:lvl w:ilvl="0">
      <w:lvlJc w:val="left"/>
      <w:lvlText w:val="%1."/>
      <w:numFmt w:val="decimal"/>
      <w:start w:val="1"/>
    </w:lvl>
    <w:lvl w:ilvl="1">
      <w:lvlJc w:val="left"/>
      <w:lvlText w:val="%2."/>
      <w:numFmt w:val="decimal"/>
      <w:start w:val="2"/>
    </w:lvl>
  </w:abstractNum>
  <w:abstractNum w:abstractNumId="33">
    <w:nsid w:val="38437FDB"/>
    <w:multiLevelType w:val="hybridMultilevel"/>
    <w:lvl w:ilvl="0">
      <w:lvlJc w:val="left"/>
      <w:lvlText w:val="%1."/>
      <w:numFmt w:val="decimal"/>
      <w:start w:val="7"/>
    </w:lvl>
    <w:lvl w:ilvl="1">
      <w:lvlJc w:val="left"/>
      <w:lvlText w:val="%2."/>
      <w:numFmt w:val="decimal"/>
      <w:start w:val="8"/>
    </w:lvl>
    <w:lvl w:ilvl="2">
      <w:lvlJc w:val="left"/>
      <w:lvlText w:val="%3."/>
      <w:numFmt w:val="decimal"/>
      <w:start w:val="15"/>
    </w:lvl>
  </w:abstractNum>
  <w:abstractNum w:abstractNumId="34">
    <w:nsid w:val="7644A45C"/>
    <w:multiLevelType w:val="hybridMultilevel"/>
    <w:lvl w:ilvl="0">
      <w:lvlJc w:val="left"/>
      <w:lvlText w:val="%1."/>
      <w:numFmt w:val="lowerRoman"/>
      <w:start w:val="2"/>
    </w:lvl>
  </w:abstractNum>
  <w:abstractNum w:abstractNumId="35">
    <w:nsid w:val="32FFF902"/>
    <w:multiLevelType w:val="hybridMultilevel"/>
    <w:lvl w:ilvl="0">
      <w:lvlJc w:val="left"/>
      <w:lvlText w:val="%1."/>
      <w:numFmt w:val="lowerLetter"/>
      <w:start w:val="2"/>
    </w:lvl>
    <w:lvl w:ilvl="1">
      <w:lvlJc w:val="left"/>
      <w:lvlText w:val="%2."/>
      <w:numFmt w:val="lowerRoman"/>
      <w:start w:val="1"/>
    </w:lvl>
  </w:abstractNum>
  <w:abstractNum w:abstractNumId="36">
    <w:nsid w:val="684A481A"/>
    <w:multiLevelType w:val="hybridMultilevel"/>
    <w:lvl w:ilvl="0">
      <w:lvlJc w:val="left"/>
      <w:lvlText w:val="%1."/>
      <w:numFmt w:val="decimal"/>
      <w:start w:val="9"/>
    </w:lvl>
    <w:lvl w:ilvl="1">
      <w:lvlJc w:val="left"/>
      <w:lvlText w:val="%2."/>
      <w:numFmt w:val="lowerLetter"/>
      <w:start w:val="1"/>
    </w:lvl>
  </w:abstractNum>
  <w:abstractNum w:abstractNumId="37">
    <w:nsid w:val="579478FE"/>
    <w:multiLevelType w:val="hybridMultilevel"/>
    <w:lvl w:ilvl="0">
      <w:lvlJc w:val="left"/>
      <w:lvlText w:val="(%1)"/>
      <w:numFmt w:val="lowerRoman"/>
      <w:start w:val="4"/>
    </w:lvl>
    <w:lvl w:ilvl="1">
      <w:lvlJc w:val="left"/>
      <w:lvlText w:val="%2."/>
      <w:numFmt w:val="decimal"/>
      <w:start w:val="10"/>
    </w:lvl>
  </w:abstractNum>
  <w:abstractNum w:abstractNumId="38">
    <w:nsid w:val="749ABB43"/>
    <w:multiLevelType w:val="hybridMultilevel"/>
    <w:lvl w:ilvl="0">
      <w:lvlJc w:val="left"/>
      <w:lvlText w:val="(%1)"/>
      <w:numFmt w:val="lowerRoman"/>
      <w:start w:val="1"/>
    </w:lvl>
    <w:lvl w:ilvl="1">
      <w:lvlJc w:val="left"/>
      <w:lvlText w:val="%2."/>
      <w:numFmt w:val="decimal"/>
      <w:start w:val="13"/>
    </w:lvl>
  </w:abstractNum>
  <w:abstractNum w:abstractNumId="39">
    <w:nsid w:val="3DC240FB"/>
    <w:multiLevelType w:val="hybridMultilevel"/>
    <w:lvl w:ilvl="0">
      <w:lvlJc w:val="left"/>
      <w:lvlText w:val="%1."/>
      <w:numFmt w:val="decimal"/>
      <w:start w:val="14"/>
    </w:lvl>
  </w:abstractNum>
  <w:abstractNum w:abstractNumId="40">
    <w:nsid w:val="1BA026FA"/>
    <w:multiLevelType w:val="hybridMultilevel"/>
    <w:lvl w:ilvl="0">
      <w:lvlJc w:val="left"/>
      <w:lvlText w:val="%1."/>
      <w:numFmt w:val="upperLetter"/>
      <w:start w:val="1"/>
    </w:lvl>
    <w:lvl w:ilvl="1">
      <w:lvlJc w:val="left"/>
      <w:lvlText w:val="%2."/>
      <w:numFmt w:val="decimal"/>
      <w:start w:val="1"/>
    </w:lvl>
  </w:abstractNum>
  <w:abstractNum w:abstractNumId="41">
    <w:nsid w:val="79A1DEAA"/>
    <w:multiLevelType w:val="hybridMultilevel"/>
    <w:lvl w:ilvl="0">
      <w:lvlJc w:val="left"/>
      <w:lvlText w:val="%1."/>
      <w:numFmt w:val="upperLetter"/>
      <w:start w:val="3"/>
    </w:lvl>
    <w:lvl w:ilvl="1">
      <w:lvlJc w:val="left"/>
      <w:lvlText w:val="%2."/>
      <w:numFmt w:val="decimal"/>
      <w:start w:val="1"/>
    </w:lvl>
  </w:abstractNum>
  <w:abstractNum w:abstractNumId="42">
    <w:nsid w:val="75C6C33A"/>
    <w:multiLevelType w:val="hybridMultilevel"/>
    <w:lvl w:ilvl="0">
      <w:lvlJc w:val="left"/>
      <w:lvlText w:val="%1."/>
      <w:numFmt w:val="decimal"/>
      <w:start w:val="7"/>
    </w:lvl>
  </w:abstractNum>
  <w:abstractNum w:abstractNumId="43">
    <w:nsid w:val="12E685FB"/>
    <w:multiLevelType w:val="hybridMultilevel"/>
    <w:lvl w:ilvl="0">
      <w:lvlJc w:val="left"/>
      <w:lvlText w:val="%1."/>
      <w:numFmt w:val="decimal"/>
      <w:start w:val="12"/>
    </w:lvl>
  </w:abstractNum>
  <w:abstractNum w:abstractNumId="44">
    <w:nsid w:val="70C6A529"/>
    <w:multiLevelType w:val="hybridMultilevel"/>
    <w:lvl w:ilvl="0">
      <w:lvlJc w:val="left"/>
      <w:lvlText w:val="%1."/>
      <w:numFmt w:val="decimal"/>
      <w:start w:val="13"/>
    </w:lvl>
  </w:abstractNum>
  <w:abstractNum w:abstractNumId="45">
    <w:nsid w:val="520EEDD1"/>
    <w:multiLevelType w:val="hybridMultilevel"/>
    <w:lvl w:ilvl="0">
      <w:lvlJc w:val="left"/>
      <w:lvlText w:val="%1."/>
      <w:numFmt w:val="decimal"/>
      <w:start w:val="14"/>
    </w:lvl>
  </w:abstractNum>
  <w:abstractNum w:abstractNumId="46">
    <w:nsid w:val="374A3FE6"/>
    <w:multiLevelType w:val="hybridMultilevel"/>
    <w:lvl w:ilvl="0">
      <w:lvlJc w:val="left"/>
      <w:lvlText w:val="%1."/>
      <w:numFmt w:val="decimal"/>
      <w:start w:val="1"/>
    </w:lvl>
    <w:lvl w:ilvl="1">
      <w:lvlJc w:val="left"/>
      <w:lvlText w:val="%2."/>
      <w:numFmt w:val="decimal"/>
      <w:start w:val="2"/>
    </w:lvl>
  </w:abstractNum>
  <w:abstractNum w:abstractNumId="47">
    <w:nsid w:val="4F4EF005"/>
    <w:multiLevelType w:val="hybridMultilevel"/>
    <w:lvl w:ilvl="0">
      <w:lvlJc w:val="left"/>
      <w:lvlText w:val="%1."/>
      <w:numFmt w:val="decimal"/>
      <w:start w:val="7"/>
    </w:lvl>
    <w:lvl w:ilvl="1">
      <w:lvlJc w:val="left"/>
      <w:lvlText w:val="%2."/>
      <w:numFmt w:val="decimal"/>
      <w:start w:val="8"/>
    </w:lvl>
    <w:lvl w:ilvl="2">
      <w:lvlJc w:val="left"/>
      <w:lvlText w:val="%3."/>
      <w:numFmt w:val="decimal"/>
      <w:start w:val="15"/>
    </w:lvl>
  </w:abstractNum>
  <w:abstractNum w:abstractNumId="48">
    <w:nsid w:val="23F9C13C"/>
    <w:multiLevelType w:val="hybridMultilevel"/>
    <w:lvl w:ilvl="0">
      <w:lvlJc w:val="left"/>
      <w:lvlText w:val="%1"/>
      <w:numFmt w:val="lowerLetter"/>
      <w:start w:val="1"/>
    </w:lvl>
    <w:lvl w:ilvl="1">
      <w:lvlJc w:val="left"/>
      <w:lvlText w:val="%2."/>
      <w:numFmt w:val="lowerLetter"/>
      <w:start w:val="35"/>
    </w:lvl>
  </w:abstractNum>
  <w:abstractNum w:abstractNumId="49">
    <w:nsid w:val="649BB77C"/>
    <w:multiLevelType w:val="hybridMultilevel"/>
    <w:lvl w:ilvl="0">
      <w:lvlJc w:val="left"/>
      <w:lvlText w:val="%1."/>
      <w:numFmt w:val="lowerLetter"/>
      <w:start w:val="2"/>
    </w:lvl>
    <w:lvl w:ilvl="1">
      <w:lvlJc w:val="left"/>
      <w:lvlText w:val="%2."/>
      <w:numFmt w:val="lowerLetter"/>
      <w:start w:val="9"/>
    </w:lvl>
  </w:abstractNum>
  <w:abstractNum w:abstractNumId="50">
    <w:nsid w:val="275AC794"/>
    <w:multiLevelType w:val="hybridMultilevel"/>
    <w:lvl w:ilvl="0">
      <w:lvlJc w:val="left"/>
      <w:lvlText w:val="%1"/>
      <w:numFmt w:val="lowerLetter"/>
      <w:start w:val="1"/>
    </w:lvl>
    <w:lvl w:ilvl="1">
      <w:lvlJc w:val="left"/>
      <w:lvlText w:val="%2."/>
      <w:numFmt w:val="lowerRoman"/>
      <w:start w:val="2"/>
    </w:lvl>
  </w:abstractNum>
  <w:abstractNum w:abstractNumId="51">
    <w:nsid w:val="39386575"/>
    <w:multiLevelType w:val="hybridMultilevel"/>
    <w:lvl w:ilvl="0">
      <w:lvlJc w:val="left"/>
      <w:lvlText w:val="%1."/>
      <w:numFmt w:val="lowerLetter"/>
      <w:start w:val="3"/>
    </w:lvl>
    <w:lvl w:ilvl="1">
      <w:lvlJc w:val="left"/>
      <w:lvlText w:val="%2."/>
      <w:numFmt w:val="lowerRoman"/>
      <w:start w:val="1"/>
    </w:lvl>
  </w:abstractNum>
  <w:abstractNum w:abstractNumId="52">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3">
    <w:nsid w:val="180115B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54">
    <w:nsid w:val="235BA861"/>
    <w:multiLevelType w:val="hybridMultilevel"/>
    <w:lvl w:ilvl="0">
      <w:lvlJc w:val="left"/>
      <w:lvlText w:val="%1"/>
      <w:numFmt w:val="lowerLetter"/>
      <w:start w:val="1"/>
    </w:lvl>
    <w:lvl w:ilvl="1">
      <w:lvlJc w:val="left"/>
      <w:lvlText w:val="%2."/>
      <w:numFmt w:val="decimal"/>
      <w:start w:val="10"/>
    </w:lvl>
  </w:abstractNum>
  <w:abstractNum w:abstractNumId="55">
    <w:nsid w:val="47398C89"/>
    <w:multiLevelType w:val="hybridMultilevel"/>
    <w:lvl w:ilvl="0">
      <w:lvlJc w:val="left"/>
      <w:lvlText w:val="(%1)"/>
      <w:numFmt w:val="lowerLetter"/>
      <w:start w:val="2"/>
    </w:lvl>
    <w:lvl w:ilvl="1">
      <w:lvlJc w:val="left"/>
      <w:lvlText w:val="%2"/>
      <w:numFmt w:val="decimal"/>
      <w:start w:val="1"/>
    </w:lvl>
  </w:abstractNum>
  <w:abstractNum w:abstractNumId="56">
    <w:nsid w:val="354FE9F9"/>
    <w:multiLevelType w:val="hybridMultilevel"/>
    <w:lvl w:ilvl="0">
      <w:lvlJc w:val="left"/>
      <w:lvlText w:val="%1."/>
      <w:numFmt w:val="decimal"/>
      <w:start w:val="12"/>
    </w:lvl>
  </w:abstractNum>
  <w:abstractNum w:abstractNumId="57">
    <w:nsid w:val="15B5AF5C"/>
    <w:multiLevelType w:val="hybridMultilevel"/>
    <w:lvl w:ilvl="0">
      <w:lvlJc w:val="left"/>
      <w:lvlText w:val="%1."/>
      <w:numFmt w:val="decimal"/>
      <w:start w:val="13"/>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2024-10-25T07:42:59Z</dcterms:created>
  <dcterms:modified xsi:type="dcterms:W3CDTF">2024-10-25T07:42:59Z</dcterms:modified>
</cp:coreProperties>
</file>