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1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540"/>
        <w:spacing w:after="0"/>
        <w:tabs>
          <w:tab w:leader="none" w:pos="44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right="3899" w:firstLine="8"/>
        <w:spacing w:after="0" w:line="235"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March 31, 1994.</w:t>
      </w:r>
    </w:p>
    <w:p>
      <w:pPr>
        <w:ind w:left="3580"/>
        <w:spacing w:after="0" w:line="238" w:lineRule="auto"/>
        <w:rPr>
          <w:sz w:val="20"/>
          <w:szCs w:val="20"/>
          <w:color w:val="auto"/>
        </w:rPr>
      </w:pPr>
      <w:r>
        <w:rPr>
          <w:rFonts w:ascii="Courier New" w:cs="Courier New" w:eastAsia="Courier New" w:hAnsi="Courier New"/>
          <w:sz w:val="18"/>
          <w:szCs w:val="18"/>
          <w:color w:val="auto"/>
        </w:rPr>
        <w:t>0R</w:t>
      </w:r>
    </w:p>
    <w:p>
      <w:pPr>
        <w:spacing w:after="0" w:line="207" w:lineRule="exact"/>
        <w:rPr>
          <w:sz w:val="24"/>
          <w:szCs w:val="24"/>
          <w:color w:val="auto"/>
        </w:rPr>
      </w:pPr>
    </w:p>
    <w:p>
      <w:pPr>
        <w:ind w:right="37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ectPr>
          <w:pgSz w:w="11900" w:h="16838" w:orient="portrait"/>
          <w:cols w:equalWidth="0" w:num="1">
            <w:col w:w="10219"/>
          </w:cols>
          <w:pgMar w:left="240" w:top="244"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4"/>
          <w:szCs w:val="24"/>
          <w:color w:val="auto"/>
        </w:rPr>
      </w:pPr>
    </w:p>
    <w:p>
      <w:pPr>
        <w:sectPr>
          <w:pgSz w:w="11900" w:h="16838" w:orient="portrait"/>
          <w:cols w:equalWidth="0" w:num="3">
            <w:col w:w="4760" w:space="720"/>
            <w:col w:w="660" w:space="720"/>
            <w:col w:w="3359"/>
          </w:cols>
          <w:pgMar w:left="240" w:top="244" w:right="1440" w:bottom="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1-644-2</w:t>
      </w:r>
    </w:p>
    <w:p>
      <w:pPr>
        <w:spacing w:after="0" w:line="201"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8"/>
          <w:szCs w:val="18"/>
          <w:color w:val="auto"/>
        </w:rPr>
        <w:t>COLGATE-PALMOLIVE COMPANY</w:t>
      </w:r>
    </w:p>
    <w:p>
      <w:pPr>
        <w:spacing w:after="0" w:line="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13-1815595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3600" w:space="720"/>
            <w:col w:w="5899"/>
          </w:cols>
          <w:pgMar w:left="240" w:top="244" w:right="1440" w:bottom="0" w:gutter="0" w:footer="0" w:header="0"/>
          <w:type w:val="continuous"/>
        </w:sectPr>
      </w:pPr>
    </w:p>
    <w:p>
      <w:pPr>
        <w:spacing w:after="0" w:line="226" w:lineRule="exact"/>
        <w:rPr>
          <w:sz w:val="24"/>
          <w:szCs w:val="24"/>
          <w:color w:val="auto"/>
        </w:rPr>
      </w:pPr>
    </w:p>
    <w:p>
      <w:pPr>
        <w:ind w:left="120" w:right="1500"/>
        <w:spacing w:after="0" w:line="290" w:lineRule="auto"/>
        <w:rPr>
          <w:sz w:val="20"/>
          <w:szCs w:val="20"/>
          <w:color w:val="auto"/>
        </w:rPr>
      </w:pPr>
      <w:r>
        <w:rPr>
          <w:rFonts w:ascii="Courier New" w:cs="Courier New" w:eastAsia="Courier New" w:hAnsi="Courier New"/>
          <w:sz w:val="16"/>
          <w:szCs w:val="16"/>
          <w:color w:val="auto"/>
        </w:rPr>
        <w:t>300 PARK AVENUE, NEW YORK, NEW YORK (Address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10022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820" w:space="720"/>
            <w:col w:w="3679"/>
          </w:cols>
          <w:pgMar w:left="240" w:top="244" w:right="1440" w:bottom="0" w:gutter="0" w:footer="0" w:header="0"/>
          <w:type w:val="continuous"/>
        </w:sectPr>
      </w:pPr>
    </w:p>
    <w:p>
      <w:pPr>
        <w:ind w:left="3580" w:hanging="622"/>
        <w:spacing w:after="0"/>
        <w:tabs>
          <w:tab w:leader="none" w:pos="3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310-2000</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 CHANGES</w:t>
            </w:r>
          </w:p>
        </w:tc>
        <w:tc>
          <w:tcPr>
            <w:tcW w:w="15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22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8"/>
              </w:rPr>
              <w:t>(Former name, former address,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former</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fiscal year, if changed since last</w:t>
            </w:r>
          </w:p>
        </w:tc>
      </w:tr>
      <w:tr>
        <w:trPr>
          <w:trHeight w:val="203"/>
        </w:trPr>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report).</w:t>
            </w:r>
          </w:p>
        </w:tc>
        <w:tc>
          <w:tcPr>
            <w:tcW w:w="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608"/>
        </w:trPr>
        <w:tc>
          <w:tcPr>
            <w:tcW w:w="3220" w:type="dxa"/>
            <w:vAlign w:val="bottom"/>
            <w:gridSpan w:val="4"/>
          </w:tcPr>
          <w:p>
            <w:pPr>
              <w:spacing w:after="0"/>
              <w:rPr>
                <w:sz w:val="20"/>
                <w:szCs w:val="20"/>
                <w:color w:val="auto"/>
              </w:rPr>
            </w:pPr>
            <w:r>
              <w:rPr>
                <w:rFonts w:ascii="Courier New" w:cs="Courier New" w:eastAsia="Courier New" w:hAnsi="Courier New"/>
                <w:sz w:val="18"/>
                <w:szCs w:val="18"/>
                <w:color w:val="auto"/>
                <w:w w:val="98"/>
              </w:rPr>
              <w:t>Indicate by check mark whether</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4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registrant (1) has filed all</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reports</w:t>
            </w:r>
          </w:p>
        </w:tc>
        <w:tc>
          <w:tcPr>
            <w:tcW w:w="7280" w:type="dxa"/>
            <w:vAlign w:val="bottom"/>
            <w:gridSpan w:val="7"/>
          </w:tcPr>
          <w:p>
            <w:pPr>
              <w:ind w:left="120"/>
              <w:spacing w:after="0" w:line="203" w:lineRule="exact"/>
              <w:rPr>
                <w:sz w:val="20"/>
                <w:szCs w:val="20"/>
                <w:color w:val="auto"/>
              </w:rPr>
            </w:pPr>
            <w:r>
              <w:rPr>
                <w:rFonts w:ascii="Courier New" w:cs="Courier New" w:eastAsia="Courier New" w:hAnsi="Courier New"/>
                <w:sz w:val="18"/>
                <w:szCs w:val="18"/>
                <w:color w:val="auto"/>
              </w:rPr>
              <w:t>required to be filed by Section 13 or 15(d) of the Securities</w:t>
            </w:r>
          </w:p>
        </w:tc>
      </w:tr>
      <w:tr>
        <w:trPr>
          <w:trHeight w:val="203"/>
        </w:trPr>
        <w:tc>
          <w:tcPr>
            <w:tcW w:w="44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Exchange Act of 1934 during the preceding</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12 months (or for such</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shorter</w:t>
            </w:r>
          </w:p>
        </w:tc>
        <w:tc>
          <w:tcPr>
            <w:tcW w:w="29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8"/>
              </w:rPr>
              <w:t>period that the registrant</w:t>
            </w:r>
          </w:p>
        </w:tc>
        <w:tc>
          <w:tcPr>
            <w:tcW w:w="4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was required to file such reports),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and (2)</w:t>
            </w:r>
          </w:p>
        </w:tc>
        <w:tc>
          <w:tcPr>
            <w:tcW w:w="7280" w:type="dxa"/>
            <w:vAlign w:val="bottom"/>
            <w:gridSpan w:val="7"/>
          </w:tcPr>
          <w:p>
            <w:pPr>
              <w:ind w:left="120"/>
              <w:spacing w:after="0" w:line="203" w:lineRule="exact"/>
              <w:rPr>
                <w:sz w:val="20"/>
                <w:szCs w:val="20"/>
                <w:color w:val="auto"/>
              </w:rPr>
            </w:pPr>
            <w:r>
              <w:rPr>
                <w:rFonts w:ascii="Courier New" w:cs="Courier New" w:eastAsia="Courier New" w:hAnsi="Courier New"/>
                <w:sz w:val="18"/>
                <w:szCs w:val="18"/>
                <w:color w:val="auto"/>
              </w:rPr>
              <w:t>has been subject to such filing requirements for the past 90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days.</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Yes</w:t>
            </w: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X</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4440" w:type="dxa"/>
            <w:vAlign w:val="bottom"/>
            <w:gridSpan w:val="6"/>
          </w:tcPr>
          <w:p>
            <w:pPr>
              <w:spacing w:after="0"/>
              <w:rPr>
                <w:sz w:val="20"/>
                <w:szCs w:val="20"/>
                <w:color w:val="auto"/>
              </w:rPr>
            </w:pPr>
            <w:r>
              <w:rPr>
                <w:rFonts w:ascii="Courier New" w:cs="Courier New" w:eastAsia="Courier New" w:hAnsi="Courier New"/>
                <w:sz w:val="18"/>
                <w:szCs w:val="18"/>
                <w:color w:val="auto"/>
                <w:w w:val="99"/>
              </w:rPr>
              <w:t>Indicate the number of shares outstanding</w:t>
            </w:r>
          </w:p>
        </w:tc>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of each of the issuers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classes</w:t>
            </w:r>
          </w:p>
        </w:tc>
        <w:tc>
          <w:tcPr>
            <w:tcW w:w="24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8"/>
              </w:rPr>
              <w:t>of common stock, as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latest</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practical date:</w:t>
            </w:r>
          </w:p>
        </w:tc>
        <w:tc>
          <w:tcPr>
            <w:tcW w:w="2000" w:type="dxa"/>
            <w:vAlign w:val="bottom"/>
          </w:tcPr>
          <w:p>
            <w:pPr>
              <w:spacing w:after="0"/>
              <w:rPr>
                <w:sz w:val="17"/>
                <w:szCs w:val="17"/>
                <w:color w:val="auto"/>
              </w:rPr>
            </w:pPr>
          </w:p>
        </w:tc>
      </w:tr>
      <w:tr>
        <w:trPr>
          <w:trHeight w:val="405"/>
        </w:trPr>
        <w:tc>
          <w:tcPr>
            <w:tcW w:w="12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Class</w:t>
            </w:r>
          </w:p>
        </w:tc>
        <w:tc>
          <w:tcPr>
            <w:tcW w:w="620" w:type="dxa"/>
            <w:vAlign w:val="bottom"/>
          </w:tcPr>
          <w:p>
            <w:pPr>
              <w:spacing w:after="0"/>
              <w:rPr>
                <w:sz w:val="24"/>
                <w:szCs w:val="24"/>
                <w:color w:val="auto"/>
              </w:rPr>
            </w:pPr>
          </w:p>
        </w:tc>
        <w:tc>
          <w:tcPr>
            <w:tcW w:w="174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Shares</w:t>
            </w: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Outstanding</w:t>
            </w:r>
          </w:p>
        </w:tc>
        <w:tc>
          <w:tcPr>
            <w:tcW w:w="20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Date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Common,</w:t>
            </w:r>
          </w:p>
        </w:tc>
        <w:tc>
          <w:tcPr>
            <w:tcW w:w="24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$1.00 par value</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146,944,328</w:t>
            </w:r>
          </w:p>
        </w:tc>
        <w:tc>
          <w:tcPr>
            <w:tcW w:w="1580" w:type="dxa"/>
            <w:vAlign w:val="bottom"/>
          </w:tcPr>
          <w:p>
            <w:pPr>
              <w:spacing w:after="0"/>
              <w:rPr>
                <w:sz w:val="17"/>
                <w:szCs w:val="17"/>
                <w:color w:val="auto"/>
              </w:rPr>
            </w:pPr>
          </w:p>
        </w:tc>
        <w:tc>
          <w:tcPr>
            <w:tcW w:w="20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6"/>
              </w:rPr>
              <w:t>April 30, 1994</w:t>
            </w:r>
          </w:p>
        </w:tc>
      </w:tr>
    </w:tbl>
    <w:p>
      <w:pPr>
        <w:spacing w:after="0" w:line="200" w:lineRule="exact"/>
        <w:rPr>
          <w:sz w:val="24"/>
          <w:szCs w:val="24"/>
          <w:color w:val="auto"/>
        </w:rPr>
      </w:pPr>
    </w:p>
    <w:p>
      <w:pPr>
        <w:spacing w:after="0" w:line="209" w:lineRule="exact"/>
        <w:rPr>
          <w:sz w:val="24"/>
          <w:szCs w:val="24"/>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Total number of sequentially numbered pages in this filing, including exhibits thereto: 14.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CONDENSED CONSOLIDATED STATEMENT OF INCOME</w:t>
      </w:r>
    </w:p>
    <w:p>
      <w:pPr>
        <w:spacing w:after="0" w:line="201"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(Dollars in Millions Except Per Share Amounts)</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Three Months Ended</w:t>
      </w:r>
    </w:p>
    <w:tbl>
      <w:tblPr>
        <w:tblLayout w:type="fixed"/>
        <w:tblInd w:w="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33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405"/>
        </w:trPr>
        <w:tc>
          <w:tcPr>
            <w:tcW w:w="2860" w:type="dxa"/>
            <w:vAlign w:val="bottom"/>
          </w:tcPr>
          <w:p>
            <w:pPr>
              <w:spacing w:after="0"/>
              <w:rPr>
                <w:sz w:val="24"/>
                <w:szCs w:val="24"/>
                <w:color w:val="auto"/>
              </w:rPr>
            </w:pPr>
          </w:p>
        </w:tc>
        <w:tc>
          <w:tcPr>
            <w:tcW w:w="2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1993</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$1,770.0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$1,702.7</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907.9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887.9</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862.1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814.8</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w w:val="99"/>
              </w:rPr>
              <w:t>Selling, general and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administrative</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expenses</w:t>
            </w:r>
          </w:p>
        </w:tc>
        <w:tc>
          <w:tcPr>
            <w:tcW w:w="7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611.3</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585.3</w:t>
            </w:r>
          </w:p>
        </w:tc>
      </w:tr>
      <w:tr>
        <w:trPr>
          <w:trHeight w:val="203"/>
        </w:trPr>
        <w:tc>
          <w:tcPr>
            <w:tcW w:w="4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Interest expense (net of interest income</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of $6.4 and $6.0, respectively)</w:t>
            </w:r>
          </w:p>
        </w:tc>
        <w:tc>
          <w:tcPr>
            <w:tcW w:w="280" w:type="dxa"/>
            <w:vAlign w:val="bottom"/>
          </w:tcPr>
          <w:p>
            <w:pPr>
              <w:spacing w:after="0"/>
              <w:rPr>
                <w:sz w:val="17"/>
                <w:szCs w:val="17"/>
                <w:color w:val="auto"/>
              </w:rPr>
            </w:pP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631.9</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596.5</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Income before</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income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taxes</w:t>
            </w:r>
          </w:p>
        </w:tc>
        <w:tc>
          <w:tcPr>
            <w:tcW w:w="28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230.2</w:t>
            </w:r>
          </w:p>
        </w:tc>
        <w:tc>
          <w:tcPr>
            <w:tcW w:w="32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218.3</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income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taxes</w:t>
            </w:r>
          </w:p>
        </w:tc>
        <w:tc>
          <w:tcPr>
            <w:tcW w:w="280" w:type="dxa"/>
            <w:vAlign w:val="bottom"/>
          </w:tcPr>
          <w:p>
            <w:pPr>
              <w:spacing w:after="0"/>
              <w:rPr>
                <w:sz w:val="17"/>
                <w:szCs w:val="17"/>
                <w:color w:val="auto"/>
              </w:rPr>
            </w:pP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80.6</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77.5</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w:t>
            </w:r>
          </w:p>
        </w:tc>
        <w:tc>
          <w:tcPr>
            <w:tcW w:w="2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changes in accounting</w:t>
            </w:r>
          </w:p>
        </w:tc>
        <w:tc>
          <w:tcPr>
            <w:tcW w:w="280" w:type="dxa"/>
            <w:vAlign w:val="bottom"/>
          </w:tcPr>
          <w:p>
            <w:pPr>
              <w:spacing w:after="0"/>
              <w:rPr>
                <w:sz w:val="17"/>
                <w:szCs w:val="17"/>
                <w:color w:val="auto"/>
              </w:rPr>
            </w:pP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149.6</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140.8</w:t>
            </w: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w w:val="99"/>
              </w:rPr>
              <w:t>Cumulative effect on</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prior years of</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2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accounting changes</w:t>
            </w:r>
          </w:p>
        </w:tc>
        <w:tc>
          <w:tcPr>
            <w:tcW w:w="2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(358.2)</w:t>
            </w: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Net income (loss)</w:t>
            </w:r>
          </w:p>
        </w:tc>
        <w:tc>
          <w:tcPr>
            <w:tcW w:w="2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149.6</w:t>
            </w:r>
          </w:p>
        </w:tc>
        <w:tc>
          <w:tcPr>
            <w:tcW w:w="10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(217.4)</w:t>
            </w:r>
          </w:p>
        </w:tc>
      </w:tr>
      <w:tr>
        <w:trPr>
          <w:trHeight w:val="405"/>
        </w:trPr>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rPr>
              <w:t>Earnings per common share:</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Primary:</w:t>
            </w:r>
          </w:p>
        </w:tc>
        <w:tc>
          <w:tcPr>
            <w:tcW w:w="7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Before changes in</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accounting</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effect</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prior</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years of</w:t>
            </w:r>
          </w:p>
        </w:tc>
        <w:tc>
          <w:tcPr>
            <w:tcW w:w="2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accounting changes</w:t>
            </w:r>
          </w:p>
        </w:tc>
        <w:tc>
          <w:tcPr>
            <w:tcW w:w="28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w:t>
            </w: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(loss)</w:t>
            </w:r>
          </w:p>
        </w:tc>
        <w:tc>
          <w:tcPr>
            <w:tcW w:w="216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(1.39)</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Assuming full</w:t>
            </w:r>
          </w:p>
        </w:tc>
        <w:tc>
          <w:tcPr>
            <w:tcW w:w="28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dilution:</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2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Before changes in</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accounting</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effect</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prior years of</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3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accounting changes</w:t>
            </w:r>
          </w:p>
        </w:tc>
        <w:tc>
          <w:tcPr>
            <w:tcW w:w="280" w:type="dxa"/>
            <w:vAlign w:val="bottom"/>
          </w:tcPr>
          <w:p>
            <w:pPr>
              <w:spacing w:after="0"/>
              <w:rPr>
                <w:sz w:val="17"/>
                <w:szCs w:val="17"/>
                <w:color w:val="auto"/>
              </w:rPr>
            </w:pP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w:t>
            </w: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(loss)</w:t>
            </w:r>
          </w:p>
        </w:tc>
        <w:tc>
          <w:tcPr>
            <w:tcW w:w="216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(1.25)</w:t>
            </w:r>
          </w:p>
        </w:tc>
      </w:tr>
      <w:tr>
        <w:trPr>
          <w:trHeight w:val="405"/>
        </w:trPr>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rPr>
              <w:t>Dividends declared per common share*:</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199" w:firstLine="8"/>
        <w:spacing w:after="0" w:line="558" w:lineRule="auto"/>
        <w:tabs>
          <w:tab w:leader="none" w:pos="21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two dividend declarations in both periods. See Notes to Condensed Consolidated Financial Statements.</w:t>
      </w:r>
    </w:p>
    <w:p>
      <w:pPr>
        <w:sectPr>
          <w:pgSz w:w="11900" w:h="16838" w:orient="portrait"/>
          <w:cols w:equalWidth="0" w:num="1">
            <w:col w:w="10219"/>
          </w:cols>
          <w:pgMar w:left="240" w:top="136" w:right="1440" w:bottom="1440" w:gutter="0" w:footer="0" w:header="0"/>
        </w:sectPr>
      </w:pPr>
    </w:p>
    <w:bookmarkStart w:id="2" w:name="page3"/>
    <w:bookmarkEnd w:id="2"/>
    <w:p>
      <w:pPr>
        <w:ind w:left="244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CONDENSED CONSOLIDATED BALANCE SHEET</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(Dollars in Millions)</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840" w:type="dxa"/>
            <w:vAlign w:val="bottom"/>
          </w:tcPr>
          <w:p>
            <w:pPr>
              <w:jc w:val="right"/>
              <w:spacing w:after="0"/>
              <w:rPr>
                <w:sz w:val="20"/>
                <w:szCs w:val="20"/>
                <w:color w:val="auto"/>
              </w:rPr>
            </w:pPr>
            <w:r>
              <w:rPr>
                <w:rFonts w:ascii="Courier New" w:cs="Courier New" w:eastAsia="Courier New" w:hAnsi="Courier New"/>
                <w:sz w:val="18"/>
                <w:szCs w:val="18"/>
                <w:color w:val="auto"/>
              </w:rPr>
              <w:t>ASSETS</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38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March 31,</w:t>
            </w:r>
          </w:p>
        </w:tc>
        <w:tc>
          <w:tcPr>
            <w:tcW w:w="22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38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c>
          <w:tcPr>
            <w:tcW w:w="740" w:type="dxa"/>
            <w:vAlign w:val="bottom"/>
          </w:tcPr>
          <w:p>
            <w:pPr>
              <w:spacing w:after="0"/>
              <w:rPr>
                <w:sz w:val="17"/>
                <w:szCs w:val="17"/>
                <w:color w:val="auto"/>
              </w:rPr>
            </w:pPr>
          </w:p>
        </w:tc>
        <w:tc>
          <w:tcPr>
            <w:tcW w:w="1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$ 147.9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144.1</w:t>
            </w: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86.2</w:t>
            </w:r>
          </w:p>
        </w:tc>
        <w:tc>
          <w:tcPr>
            <w:tcW w:w="74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67.1</w:t>
            </w: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Receivables (net of allowance for</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doubtful accounts of $24.7</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and $24.9)</w:t>
            </w:r>
          </w:p>
        </w:tc>
        <w:tc>
          <w:tcPr>
            <w:tcW w:w="10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1,025.8</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988.3</w:t>
            </w: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Inventories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701.6</w:t>
            </w:r>
          </w:p>
        </w:tc>
        <w:tc>
          <w:tcPr>
            <w:tcW w:w="74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678.0</w:t>
            </w: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216.3</w:t>
            </w:r>
          </w:p>
        </w:tc>
        <w:tc>
          <w:tcPr>
            <w:tcW w:w="74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192.9</w:t>
            </w:r>
          </w:p>
        </w:tc>
      </w:tr>
      <w:tr>
        <w:trPr>
          <w:trHeight w:val="203"/>
        </w:trPr>
        <w:tc>
          <w:tcPr>
            <w:tcW w:w="38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2,177.8</w:t>
            </w:r>
          </w:p>
        </w:tc>
        <w:tc>
          <w:tcPr>
            <w:tcW w:w="74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2,070.4</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Cost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2,860.4</w:t>
            </w:r>
          </w:p>
        </w:tc>
        <w:tc>
          <w:tcPr>
            <w:tcW w:w="74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2,820.2</w:t>
            </w: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1,073.3</w:t>
            </w:r>
          </w:p>
        </w:tc>
        <w:tc>
          <w:tcPr>
            <w:tcW w:w="74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1,053.9</w:t>
            </w:r>
          </w:p>
        </w:tc>
      </w:tr>
      <w:tr>
        <w:trPr>
          <w:trHeight w:val="203"/>
        </w:trPr>
        <w:tc>
          <w:tcPr>
            <w:tcW w:w="38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1,787.1</w:t>
            </w:r>
          </w:p>
        </w:tc>
        <w:tc>
          <w:tcPr>
            <w:tcW w:w="74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1,766.3</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Goodwill and other intangible</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assets (less accumulated amortization</w:t>
            </w: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$164.9 and $151.2)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1,588.8</w:t>
            </w:r>
          </w:p>
        </w:tc>
        <w:tc>
          <w:tcPr>
            <w:tcW w:w="74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1,589.0</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397.2</w:t>
            </w:r>
          </w:p>
        </w:tc>
        <w:tc>
          <w:tcPr>
            <w:tcW w:w="74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335.5</w:t>
            </w:r>
          </w:p>
        </w:tc>
      </w:tr>
      <w:tr>
        <w:trPr>
          <w:trHeight w:val="203"/>
        </w:trPr>
        <w:tc>
          <w:tcPr>
            <w:tcW w:w="38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$5,950.9</w:t>
            </w:r>
          </w:p>
        </w:tc>
        <w:tc>
          <w:tcPr>
            <w:tcW w:w="22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$ 5,761.2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Condensed Consolidated Financial Statements.</w:t>
      </w:r>
    </w:p>
    <w:p>
      <w:pPr>
        <w:sectPr>
          <w:pgSz w:w="11900" w:h="16838" w:orient="portrait"/>
          <w:cols w:equalWidth="0" w:num="1">
            <w:col w:w="10219"/>
          </w:cols>
          <w:pgMar w:left="240" w:top="717" w:right="1440" w:bottom="1440" w:gutter="0" w:footer="0" w:header="0"/>
        </w:sectPr>
      </w:pPr>
    </w:p>
    <w:bookmarkStart w:id="3" w:name="page4"/>
    <w:bookmarkEnd w:id="3"/>
    <w:p>
      <w:pPr>
        <w:ind w:left="244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CONDENSED CONSOLIDATED BALANCE SHEET</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(Dollars in Millions)</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LIABILITIES AND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March 31, December 31,</w:t>
            </w:r>
          </w:p>
        </w:tc>
      </w:tr>
      <w:tr>
        <w:trPr>
          <w:trHeight w:val="203"/>
        </w:trPr>
        <w:tc>
          <w:tcPr>
            <w:tcW w:w="374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and loans payable</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$ 290.9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$ 169.4</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606.5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599.3</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income taxes</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59.4</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accruals</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584.2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550.4</w:t>
            </w:r>
          </w:p>
        </w:tc>
      </w:tr>
      <w:tr>
        <w:trPr>
          <w:trHeight w:val="203"/>
        </w:trPr>
        <w:tc>
          <w:tcPr>
            <w:tcW w:w="374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1,587.8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1,394.0</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1,662.8</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1,532.4</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285.1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266.2</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696.9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693.6</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413.2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414.3</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183.2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183.2</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1,002.7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1,000.9</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2,206.7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2,163.4</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 foreign currency</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translation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(372.9)</w:t>
            </w:r>
          </w:p>
        </w:tc>
      </w:tr>
      <w:tr>
        <w:trPr>
          <w:trHeight w:val="203"/>
        </w:trPr>
        <w:tc>
          <w:tcPr>
            <w:tcW w:w="374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3,412.4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3,388.9</w:t>
            </w:r>
          </w:p>
        </w:tc>
      </w:tr>
      <w:tr>
        <w:trPr>
          <w:trHeight w:val="405"/>
        </w:trPr>
        <w:tc>
          <w:tcPr>
            <w:tcW w:w="3740" w:type="dxa"/>
            <w:vAlign w:val="bottom"/>
          </w:tcPr>
          <w:p>
            <w:pPr>
              <w:ind w:left="120"/>
              <w:spacing w:after="0"/>
              <w:rPr>
                <w:sz w:val="20"/>
                <w:szCs w:val="20"/>
                <w:color w:val="auto"/>
              </w:rPr>
            </w:pPr>
            <w:r>
              <w:rPr>
                <w:rFonts w:ascii="Courier New" w:cs="Courier New" w:eastAsia="Courier New" w:hAnsi="Courier New"/>
                <w:sz w:val="18"/>
                <w:szCs w:val="18"/>
                <w:color w:val="auto"/>
              </w:rPr>
              <w:t>Unearned compensation</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(387.8)</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(389.9)</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(1,306.3)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(1,124.0)</w:t>
            </w:r>
          </w:p>
        </w:tc>
      </w:tr>
      <w:tr>
        <w:trPr>
          <w:trHeight w:val="405"/>
        </w:trPr>
        <w:tc>
          <w:tcPr>
            <w:tcW w:w="374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1,718.3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1,875.0</w:t>
            </w:r>
          </w:p>
        </w:tc>
      </w:tr>
      <w:tr>
        <w:trPr>
          <w:trHeight w:val="203"/>
        </w:trPr>
        <w:tc>
          <w:tcPr>
            <w:tcW w:w="374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$5,950.9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$5,761.2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Condensed Consolidated Financial Statements.</w:t>
      </w:r>
    </w:p>
    <w:p>
      <w:pPr>
        <w:sectPr>
          <w:pgSz w:w="11900" w:h="16838" w:orient="portrait"/>
          <w:cols w:equalWidth="0" w:num="1">
            <w:col w:w="10219"/>
          </w:cols>
          <w:pgMar w:left="240" w:top="919" w:right="1440" w:bottom="1440" w:gutter="0" w:footer="0" w:header="0"/>
        </w:sectPr>
      </w:pPr>
    </w:p>
    <w:bookmarkStart w:id="4" w:name="page5"/>
    <w:bookmarkEnd w:id="4"/>
    <w:p>
      <w:pPr>
        <w:jc w:val="center"/>
        <w:ind w:right="2719"/>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CONDENSED CONSOLIDATED STATEMENT OF CASH FLOWS</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(Dollars in Millions)</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254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060" w:type="dxa"/>
            <w:vAlign w:val="bottom"/>
          </w:tcPr>
          <w:p>
            <w:pPr>
              <w:spacing w:after="0"/>
              <w:rPr>
                <w:sz w:val="17"/>
                <w:szCs w:val="17"/>
                <w:color w:val="auto"/>
              </w:rPr>
            </w:pPr>
          </w:p>
        </w:tc>
        <w:tc>
          <w:tcPr>
            <w:tcW w:w="254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148.1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113.8</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Capital expenditures</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(67.0)</w:t>
            </w:r>
          </w:p>
        </w:tc>
        <w:tc>
          <w:tcPr>
            <w:tcW w:w="160" w:type="dxa"/>
            <w:vAlign w:val="bottom"/>
          </w:tcPr>
          <w:p>
            <w:pPr>
              <w:spacing w:after="0"/>
              <w:rPr>
                <w:sz w:val="24"/>
                <w:szCs w:val="24"/>
                <w:color w:val="auto"/>
              </w:rPr>
            </w:pP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(64.0)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Payments for acquisitions, net of cash acquired</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(18.8)</w:t>
            </w:r>
          </w:p>
        </w:tc>
        <w:tc>
          <w:tcPr>
            <w:tcW w:w="1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sale of marketable securities, net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(19.3)</w:t>
            </w:r>
          </w:p>
        </w:tc>
        <w:tc>
          <w:tcPr>
            <w:tcW w:w="1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36.4</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net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(50.6)</w:t>
            </w:r>
          </w:p>
        </w:tc>
        <w:tc>
          <w:tcPr>
            <w:tcW w:w="1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34.4</w:t>
            </w: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(used for) provided by investing</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activities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(155.7)</w:t>
            </w:r>
          </w:p>
        </w:tc>
        <w:tc>
          <w:tcPr>
            <w:tcW w:w="1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w:t>
            </w:r>
          </w:p>
        </w:tc>
      </w:tr>
      <w:tr>
        <w:trPr>
          <w:trHeight w:val="608"/>
        </w:trPr>
        <w:tc>
          <w:tcPr>
            <w:tcW w:w="506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Principal payments on debt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(8.1)</w:t>
            </w:r>
          </w:p>
        </w:tc>
        <w:tc>
          <w:tcPr>
            <w:tcW w:w="160" w:type="dxa"/>
            <w:vAlign w:val="bottom"/>
          </w:tcPr>
          <w:p>
            <w:pPr>
              <w:spacing w:after="0"/>
              <w:rPr>
                <w:sz w:val="24"/>
                <w:szCs w:val="24"/>
                <w:color w:val="auto"/>
              </w:rPr>
            </w:pP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(85.7)</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debt, net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260.7</w:t>
            </w:r>
          </w:p>
        </w:tc>
        <w:tc>
          <w:tcPr>
            <w:tcW w:w="1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68.2</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(53.6)</w:t>
            </w:r>
          </w:p>
        </w:tc>
        <w:tc>
          <w:tcPr>
            <w:tcW w:w="1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(49.8)</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common stock</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(185.6)</w:t>
            </w:r>
          </w:p>
        </w:tc>
        <w:tc>
          <w:tcPr>
            <w:tcW w:w="1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net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w:t>
            </w:r>
          </w:p>
        </w:tc>
        <w:tc>
          <w:tcPr>
            <w:tcW w:w="1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17.6</w:t>
            </w: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provided by (used for) financing</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activities</w:t>
            </w:r>
          </w:p>
        </w:tc>
        <w:tc>
          <w:tcPr>
            <w:tcW w:w="1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12.1</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(0.7)</w:t>
            </w:r>
          </w:p>
        </w:tc>
        <w:tc>
          <w:tcPr>
            <w:tcW w:w="1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cash equivalents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3.8</w:t>
            </w:r>
          </w:p>
        </w:tc>
        <w:tc>
          <w:tcPr>
            <w:tcW w:w="1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57.8</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 of</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period</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144.1</w:t>
            </w:r>
          </w:p>
        </w:tc>
        <w:tc>
          <w:tcPr>
            <w:tcW w:w="1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117.9</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$147.9</w:t>
            </w:r>
          </w:p>
        </w:tc>
        <w:tc>
          <w:tcPr>
            <w:tcW w:w="1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Condensed Consolidated Financial Statements.</w:t>
      </w:r>
    </w:p>
    <w:p>
      <w:pPr>
        <w:sectPr>
          <w:pgSz w:w="11900" w:h="16838" w:orient="portrait"/>
          <w:cols w:equalWidth="0" w:num="1">
            <w:col w:w="10219"/>
          </w:cols>
          <w:pgMar w:left="240" w:top="717" w:right="1440" w:bottom="1440" w:gutter="0" w:footer="0" w:header="0"/>
        </w:sectPr>
      </w:pPr>
    </w:p>
    <w:bookmarkStart w:id="5" w:name="page6"/>
    <w:bookmarkEnd w:id="5"/>
    <w:p>
      <w:pPr>
        <w:ind w:left="296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(Dollars in Millions)</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10" w:lineRule="exact"/>
        <w:rPr>
          <w:sz w:val="20"/>
          <w:szCs w:val="20"/>
          <w:color w:val="auto"/>
        </w:rPr>
      </w:pPr>
    </w:p>
    <w:p>
      <w:pPr>
        <w:ind w:left="220" w:right="2939" w:hanging="210"/>
        <w:spacing w:after="0" w:line="237" w:lineRule="auto"/>
        <w:rPr>
          <w:sz w:val="20"/>
          <w:szCs w:val="20"/>
          <w:color w:val="auto"/>
        </w:rPr>
      </w:pPr>
      <w:r>
        <w:rPr>
          <w:rFonts w:ascii="Courier New" w:cs="Courier New" w:eastAsia="Courier New" w:hAnsi="Courier New"/>
          <w:sz w:val="18"/>
          <w:szCs w:val="18"/>
          <w:color w:val="auto"/>
        </w:rPr>
        <w:t>1.The condensed consolidated financial statements reflect all normal recurring adjustments which, in management's opinion, are necessary for a fair presentation of the results for interim periods. Results of operations for the three months ended March 31, 1994 and 1993 may not be representative of results to be expected for a full year.</w:t>
      </w:r>
    </w:p>
    <w:p>
      <w:pPr>
        <w:spacing w:after="0" w:line="210" w:lineRule="exact"/>
        <w:rPr>
          <w:sz w:val="20"/>
          <w:szCs w:val="20"/>
          <w:color w:val="auto"/>
        </w:rPr>
      </w:pPr>
    </w:p>
    <w:p>
      <w:pPr>
        <w:ind w:left="220" w:right="2939" w:hanging="210"/>
        <w:spacing w:after="0" w:line="237" w:lineRule="auto"/>
        <w:rPr>
          <w:sz w:val="20"/>
          <w:szCs w:val="20"/>
          <w:color w:val="auto"/>
        </w:rPr>
      </w:pPr>
      <w:r>
        <w:rPr>
          <w:rFonts w:ascii="Courier New" w:cs="Courier New" w:eastAsia="Courier New" w:hAnsi="Courier New"/>
          <w:sz w:val="18"/>
          <w:szCs w:val="18"/>
          <w:color w:val="auto"/>
        </w:rPr>
        <w:t>2.Provision for certain expenses, including income taxes, media advertising, consumer promotion and new product introductory costs, are based on full year assumptions. Such expenses are charged to operations in the year incurred and are included in the accompanying condensed consolidated financial statements in proportion with the passage of time or with estimated annual tax rates or annual sales.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3.Inventories by major classes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94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March 31,</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294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2940" w:type="dxa"/>
            <w:vAlign w:val="bottom"/>
          </w:tcPr>
          <w:p>
            <w:pPr>
              <w:spacing w:after="0"/>
              <w:rPr>
                <w:sz w:val="20"/>
                <w:szCs w:val="20"/>
                <w:color w:val="auto"/>
              </w:rPr>
            </w:pPr>
            <w:r>
              <w:rPr>
                <w:rFonts w:ascii="Courier New" w:cs="Courier New" w:eastAsia="Courier New" w:hAnsi="Courier New"/>
                <w:sz w:val="18"/>
                <w:szCs w:val="18"/>
                <w:color w:val="auto"/>
              </w:rPr>
              <w:t>Raw materials and supplies</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$252.4</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$250.0</w:t>
            </w: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Work-in-process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28.7</w:t>
            </w: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414.2</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399.3</w:t>
            </w:r>
          </w:p>
        </w:tc>
      </w:tr>
      <w:tr>
        <w:trPr>
          <w:trHeight w:val="203"/>
        </w:trPr>
        <w:tc>
          <w:tcPr>
            <w:tcW w:w="294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$701.6</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$678.0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right="3259" w:hanging="210"/>
        <w:spacing w:after="0" w:line="237" w:lineRule="auto"/>
        <w:rPr>
          <w:sz w:val="20"/>
          <w:szCs w:val="20"/>
          <w:color w:val="auto"/>
        </w:rPr>
      </w:pPr>
      <w:r>
        <w:rPr>
          <w:rFonts w:ascii="Courier New" w:cs="Courier New" w:eastAsia="Courier New" w:hAnsi="Courier New"/>
          <w:sz w:val="18"/>
          <w:szCs w:val="18"/>
          <w:color w:val="auto"/>
        </w:rPr>
        <w:t>4.Primary earnings per share are determined by dividing net income, after deducting dividends on preferred stock, net of related tax benefits, by the weighted average number of common shares outstanding. Fully diluted earnings per common share are calculated assuming the conversion of all potentially dilutive securities, including convertible preferred stock and outstanding options. This calculation also assumes reduction of available income by pro forma ESOP replacement funding, net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 income taxes.</w:t>
      </w:r>
    </w:p>
    <w:p>
      <w:pPr>
        <w:spacing w:after="0" w:line="207" w:lineRule="exact"/>
        <w:rPr>
          <w:sz w:val="20"/>
          <w:szCs w:val="20"/>
          <w:color w:val="auto"/>
        </w:rPr>
      </w:pPr>
    </w:p>
    <w:p>
      <w:pPr>
        <w:ind w:left="220" w:right="2839" w:hanging="210"/>
        <w:spacing w:after="0" w:line="237" w:lineRule="auto"/>
        <w:rPr>
          <w:sz w:val="20"/>
          <w:szCs w:val="20"/>
          <w:color w:val="auto"/>
        </w:rPr>
      </w:pPr>
      <w:r>
        <w:rPr>
          <w:rFonts w:ascii="Courier New" w:cs="Courier New" w:eastAsia="Courier New" w:hAnsi="Courier New"/>
          <w:sz w:val="18"/>
          <w:szCs w:val="18"/>
          <w:color w:val="auto"/>
        </w:rPr>
        <w:t>5.Effective January 1, 1994, the Company adopted Statement of Financial Accounting Standards No. 115, "Accounting for Certain Investments in Debt and Equity Securities," which addresses the accounting and reporting for investments in equity securities that have readily determinable fair values and for all investments in debt securities. The effect of adoption had no impact on results of operations or cash flows and was not material to financial condition.</w:t>
      </w:r>
    </w:p>
    <w:p>
      <w:pPr>
        <w:spacing w:after="0" w:line="212" w:lineRule="exact"/>
        <w:rPr>
          <w:sz w:val="20"/>
          <w:szCs w:val="20"/>
          <w:color w:val="auto"/>
        </w:rPr>
      </w:pPr>
    </w:p>
    <w:p>
      <w:pPr>
        <w:ind w:left="220" w:right="3579" w:hanging="210"/>
        <w:spacing w:after="0" w:line="237" w:lineRule="auto"/>
        <w:rPr>
          <w:sz w:val="20"/>
          <w:szCs w:val="20"/>
          <w:color w:val="auto"/>
        </w:rPr>
      </w:pPr>
      <w:r>
        <w:rPr>
          <w:rFonts w:ascii="Courier New" w:cs="Courier New" w:eastAsia="Courier New" w:hAnsi="Courier New"/>
          <w:sz w:val="18"/>
          <w:szCs w:val="18"/>
          <w:color w:val="auto"/>
        </w:rPr>
        <w:t>6.Reference is made to the Company's Annual Report on Form 10-K filed with the Securities and Exchange Commission for the year 1993 for a complete set of financial notes including the Company's significant accounting policies.</w:t>
      </w:r>
    </w:p>
    <w:p>
      <w:pPr>
        <w:sectPr>
          <w:pgSz w:w="11900" w:h="16838" w:orient="portrait"/>
          <w:cols w:equalWidth="0" w:num="1">
            <w:col w:w="10219"/>
          </w:cols>
          <w:pgMar w:left="240" w:top="1122" w:right="1440" w:bottom="1440" w:gutter="0" w:footer="0" w:header="0"/>
        </w:sectPr>
      </w:pPr>
    </w:p>
    <w:bookmarkStart w:id="6" w:name="page7"/>
    <w:bookmarkEnd w:id="6"/>
    <w:p>
      <w:pPr>
        <w:jc w:val="center"/>
        <w:ind w:right="2739"/>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MANAGEMENT'S DISCUSSION AND ANALYSIS OF FINANCIAL</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(Dollars in Millions Except Per Share Amounts)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Worldwide sales reached $1,770.0 in the first quarter of 1994, a 4% increase over the 1993 first quarter, reflecting overall volume gains of 6%. Sales would have increased 7% excluding the negative effects of foreign currency declines, particularly in Europe.</w:t>
      </w:r>
    </w:p>
    <w:p>
      <w:pPr>
        <w:spacing w:after="0" w:line="207" w:lineRule="exact"/>
        <w:rPr>
          <w:sz w:val="20"/>
          <w:szCs w:val="20"/>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Sales in the Oral, Personal and Household Care segment were $1,563.5 up 5% from $1,495.9 in 1993 on volume growth of 7%. Strong sales in the Latin America and Asia/Africa regions more than offset declines in USA/Canada/Puerto Rico and Europe, which continues to include the effects of poor economic conditions in major countries and unfavorable currency translation. Colgate-Latin America sales grew 15% to $404.8 on volume gains of 9% led by strong performances in Mexico, Colombia, the Dominican Republic and Chile. Colgate-Asia/Africa sales increased 21% to $326.6 on volume gains of 23%. These volume gains included 8% internally generated growth with outstanding performances in Malaysia, Hong Kong, China and South Africa, as well as the mid-1993 consolidation of the Company's Indian subsidiary, based on increased ownership to majority control. Colgate-USA/Canada/Puerto Rico sales declined 6%</w:t>
      </w:r>
    </w:p>
    <w:p>
      <w:pPr>
        <w:spacing w:after="0" w:line="187" w:lineRule="exact"/>
        <w:rPr>
          <w:sz w:val="20"/>
          <w:szCs w:val="20"/>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to $384.4 while volume grew 4% in a difficult competitive environment. Sales in Colgate-Europe declined 4% to $447.7 on overall volume gains of 1%. Strong volume growth in Eastern Europe and Spain was partially offset by declines in France and the Nordic Group.</w:t>
      </w:r>
    </w:p>
    <w:p>
      <w:pPr>
        <w:spacing w:after="0" w:line="182"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Sales in the Specialty Marketing segment of $206.5 in the first quarter of 1994 were essentially even with the 1993 first quarter. Hill's Pet Nutrition comprising most of this segment, generated excellent demand and increased pet food volume 5% over the 1993 first quarter. This volume increase was tempered by the short-term impact of several non-continuing outside distributors eliminating inventories. The non-core businesses in the Specialty Marketing segment, including Princess House tableware and veterinary drugs distributed by Hill's, had lower sales and unit volume in the 1994 first quarter as compared with the prior year.</w:t>
      </w:r>
    </w:p>
    <w:p>
      <w:pPr>
        <w:spacing w:after="0" w:line="18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Gross profit margin improved to 48.7% from 47.9% in the first quarter of 1993. The improvement in gross profit reflects the Company's continuing strategy to shift product mix to higher margin oral and personal care product categories, reduce overhead and improve manufacturing efficiency. This increased profitability enabled the Company to reinvest in its existing businesses in the form of higher research and development and advertising during the 1994 first quarter as compared with the prior year.</w:t>
      </w:r>
    </w:p>
    <w:p>
      <w:pPr>
        <w:spacing w:after="0" w:line="211"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Selling, general and administrative expenses at 34.5% of sales in the 1994 first quarter were basically even with prior year first quarter results. In absolute dollar terms, the higher levels of selling, general and administrative expenses reflected the increase in total advertising spending, which also increased as a percentage of sales. Earnings before interest and taxes (EBIT) increased 9.3% to $250.8. EBIT as a percentage of sales increased to 14.2% from 13.5% in 1993.</w:t>
      </w:r>
    </w:p>
    <w:p>
      <w:pPr>
        <w:spacing w:after="0" w:line="211"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Interest expense, net of interest income, was $20.6 in the 1994 first quarter as compared with $11.2 in 1993. This increase is primarily due</w:t>
      </w:r>
    </w:p>
    <w:p>
      <w:pPr>
        <w:ind w:right="2199"/>
        <w:spacing w:after="0" w:line="235" w:lineRule="auto"/>
        <w:rPr>
          <w:sz w:val="20"/>
          <w:szCs w:val="20"/>
          <w:color w:val="auto"/>
        </w:rPr>
      </w:pPr>
      <w:r>
        <w:rPr>
          <w:rFonts w:ascii="Courier New" w:cs="Courier New" w:eastAsia="Courier New" w:hAnsi="Courier New"/>
          <w:sz w:val="18"/>
          <w:szCs w:val="18"/>
          <w:color w:val="auto"/>
        </w:rPr>
        <w:t>to increased levels of debt incurred in connection with the share repurchase program which commenced during the 1993 second quarter.</w:t>
      </w:r>
    </w:p>
    <w:p>
      <w:pPr>
        <w:spacing w:after="0" w:line="208"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effective tax rate was 35.0% versus 35.5% in 1993. The 35.0% rate reflects the Company's current estimate of its full year effective income tax rate, which is slightly higher than the 1993 full year rate of 34.5%.</w:t>
      </w:r>
    </w:p>
    <w:p>
      <w:pPr>
        <w:sectPr>
          <w:pgSz w:w="11900" w:h="16838" w:orient="portrait"/>
          <w:cols w:equalWidth="0" w:num="1">
            <w:col w:w="10219"/>
          </w:cols>
          <w:pgMar w:left="240" w:top="514" w:right="1440" w:bottom="1440" w:gutter="0" w:footer="0" w:header="0"/>
        </w:sectPr>
      </w:pPr>
    </w:p>
    <w:bookmarkStart w:id="7" w:name="page8"/>
    <w:bookmarkEnd w:id="7"/>
    <w:p>
      <w:pPr>
        <w:jc w:val="center"/>
        <w:ind w:right="2739"/>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MANAGEMENT'S DISCUSSION AND ANALYSIS OF FINANCIAL</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(Dollars in Millions Except Per Share Amounts)</w:t>
      </w:r>
    </w:p>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First quarter 1994 net income was $149.6 or $.98 per share compared with a net loss of $217.4 or $1.39 per share in the prior year. Included in the first quarter 1993 net loss and per share amounts was the charge for the cumulative effect of changes in accounting for Other Postretirement Benefits, Postemployment Benefits and Income Taxes. Excluding the charge, net income increased 6% and earnings per share rose 15% on 8% fewer shares outstanding.</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739"/>
        <w:spacing w:after="0" w:line="238" w:lineRule="auto"/>
        <w:rPr>
          <w:sz w:val="20"/>
          <w:szCs w:val="20"/>
          <w:color w:val="auto"/>
        </w:rPr>
      </w:pPr>
      <w:r>
        <w:rPr>
          <w:rFonts w:ascii="Courier New" w:cs="Courier New" w:eastAsia="Courier New" w:hAnsi="Courier New"/>
          <w:sz w:val="18"/>
          <w:szCs w:val="18"/>
          <w:color w:val="auto"/>
        </w:rPr>
        <w:t>Net cash provided by operations increased to $148.1 in the 1994 first quarter compared with $113.8 in the prior year. The improvement in cash generated by operating activities to 8.4% of sales from 6.7% in 1993 reflects the Company's improving profitability and continued management emphasis on working capital control. At March 31, 1994, commercial paper outstanding was $822.6, the majority of which is classified as long-term due to the Company's intent and ability to refinance these obligations on a long-term basis. In keeping with the Company's ongoing program to repurchase common shares in the open market and private transactions to provide for employee benefit plans and to maintain its targeted capital structure, aggregate open market repurchases for the 1994 first quarter approximated 3 million shares with a total purchase price of $180.4. During the first quarter the Board of Directors authorized the repurchase of up to an additional five million shares. In addition, in May 1994, the Company filed a shelf registration for $500.0 of debt securities. The Company plans to sell debt securities from time to time and use the proceeds for general corporate purposes.</w:t>
      </w:r>
    </w:p>
    <w:p>
      <w:pPr>
        <w:spacing w:after="0" w:line="209" w:lineRule="exact"/>
        <w:rPr>
          <w:sz w:val="20"/>
          <w:szCs w:val="20"/>
          <w:color w:val="auto"/>
        </w:rPr>
      </w:pPr>
    </w:p>
    <w:p>
      <w:pPr>
        <w:jc w:val="both"/>
        <w:ind w:right="3159"/>
        <w:spacing w:after="0" w:line="236" w:lineRule="auto"/>
        <w:rPr>
          <w:sz w:val="20"/>
          <w:szCs w:val="20"/>
          <w:color w:val="auto"/>
        </w:rPr>
      </w:pPr>
      <w:r>
        <w:rPr>
          <w:rFonts w:ascii="Courier New" w:cs="Courier New" w:eastAsia="Courier New" w:hAnsi="Courier New"/>
          <w:sz w:val="18"/>
          <w:szCs w:val="18"/>
          <w:color w:val="auto"/>
        </w:rPr>
        <w:t>Reference should be made to the 1993 Annual Report on Form 10-K for additional information regarding available sources of liquidity and capital.</w:t>
      </w:r>
    </w:p>
    <w:p>
      <w:pPr>
        <w:sectPr>
          <w:pgSz w:w="11900" w:h="16838" w:orient="portrait"/>
          <w:cols w:equalWidth="0" w:num="1">
            <w:col w:w="10219"/>
          </w:cols>
          <w:pgMar w:left="240" w:top="514" w:right="1440" w:bottom="1440" w:gutter="0" w:footer="0" w:header="0"/>
        </w:sectPr>
      </w:pPr>
    </w:p>
    <w:bookmarkStart w:id="8" w:name="page9"/>
    <w:bookmarkEnd w:id="8"/>
    <w:p>
      <w:pPr>
        <w:ind w:left="244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1.Legal Proceedings</w:t>
      </w:r>
    </w:p>
    <w:p>
      <w:pPr>
        <w:spacing w:after="0" w:line="207" w:lineRule="exact"/>
        <w:rPr>
          <w:sz w:val="20"/>
          <w:szCs w:val="20"/>
          <w:color w:val="auto"/>
        </w:rPr>
      </w:pPr>
    </w:p>
    <w:p>
      <w:pPr>
        <w:ind w:left="860" w:right="3679"/>
        <w:spacing w:after="0" w:line="237" w:lineRule="auto"/>
        <w:rPr>
          <w:sz w:val="20"/>
          <w:szCs w:val="20"/>
          <w:color w:val="auto"/>
        </w:rPr>
      </w:pPr>
      <w:r>
        <w:rPr>
          <w:rFonts w:ascii="Courier New" w:cs="Courier New" w:eastAsia="Courier New" w:hAnsi="Courier New"/>
          <w:sz w:val="18"/>
          <w:szCs w:val="18"/>
          <w:color w:val="auto"/>
        </w:rPr>
        <w:t>Reference is made to Note 15 to the consolidated financial statements on page 33 of the registrant's Annual Report on Form 10-K for the year ended December 31, 1993.</w:t>
      </w:r>
    </w:p>
    <w:p>
      <w:pPr>
        <w:spacing w:after="0" w:line="207" w:lineRule="exact"/>
        <w:rPr>
          <w:sz w:val="20"/>
          <w:szCs w:val="20"/>
          <w:color w:val="auto"/>
        </w:rPr>
      </w:pPr>
    </w:p>
    <w:p>
      <w:pPr>
        <w:ind w:left="860" w:right="4099" w:hanging="842"/>
        <w:spacing w:after="0" w:line="275" w:lineRule="auto"/>
        <w:rPr>
          <w:sz w:val="20"/>
          <w:szCs w:val="20"/>
          <w:color w:val="auto"/>
        </w:rPr>
      </w:pPr>
      <w:r>
        <w:rPr>
          <w:rFonts w:ascii="Courier New" w:cs="Courier New" w:eastAsia="Courier New" w:hAnsi="Courier New"/>
          <w:sz w:val="16"/>
          <w:szCs w:val="16"/>
          <w:color w:val="auto"/>
        </w:rPr>
        <w:t>Item 4.Submission of Matters to a Vote of Security Holders The Company's annual meeting of stockholders was held on May 5, 1994. The matters voted on and the results of the vote are as follows:</w:t>
      </w:r>
    </w:p>
    <w:p>
      <w:pPr>
        <w:spacing w:after="0" w:line="177" w:lineRule="exact"/>
        <w:rPr>
          <w:sz w:val="20"/>
          <w:szCs w:val="20"/>
          <w:color w:val="auto"/>
        </w:rPr>
      </w:pPr>
    </w:p>
    <w:p>
      <w:pPr>
        <w:ind w:left="1280" w:hanging="429"/>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Vernon R. Alden, Jill K. Conway, Ronald E.</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Ferguson, Ellen M. Hancock, David W. Johnson, John P.</w:t>
      </w:r>
    </w:p>
    <w:tbl>
      <w:tblPr>
        <w:tblLayout w:type="fixed"/>
        <w:tblInd w:w="128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Courier New" w:cs="Courier New" w:eastAsia="Courier New" w:hAnsi="Courier New"/>
                <w:sz w:val="18"/>
                <w:szCs w:val="18"/>
                <w:color w:val="auto"/>
              </w:rPr>
              <w:t>Kendall, Delano</w:t>
            </w:r>
          </w:p>
        </w:tc>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rPr>
              <w:t>E. Lewis, Reuben Mark and Howard B.</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Wentz, Jr. were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elected</w:t>
            </w:r>
          </w:p>
        </w:tc>
        <w:tc>
          <w:tcPr>
            <w:tcW w:w="3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directors of the Company.</w:t>
            </w:r>
          </w:p>
        </w:tc>
      </w:tr>
      <w:tr>
        <w:trPr>
          <w:trHeight w:val="203"/>
        </w:trPr>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results of the vote</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 as follows:</w:t>
            </w:r>
          </w:p>
        </w:tc>
        <w:tc>
          <w:tcPr>
            <w:tcW w:w="19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284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Votes Received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Votes Withheld</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Vernon R. Alden</w:t>
            </w:r>
          </w:p>
        </w:tc>
        <w:tc>
          <w:tcPr>
            <w:tcW w:w="780" w:type="dxa"/>
            <w:vAlign w:val="bottom"/>
          </w:tcPr>
          <w:p>
            <w:pPr>
              <w:spacing w:after="0"/>
              <w:rPr>
                <w:sz w:val="17"/>
                <w:szCs w:val="17"/>
                <w:color w:val="auto"/>
              </w:rPr>
            </w:pP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130,355,606</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1,142,012</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Jill K. Conway</w:t>
            </w:r>
          </w:p>
        </w:tc>
        <w:tc>
          <w:tcPr>
            <w:tcW w:w="780" w:type="dxa"/>
            <w:vAlign w:val="bottom"/>
          </w:tcPr>
          <w:p>
            <w:pPr>
              <w:spacing w:after="0"/>
              <w:rPr>
                <w:sz w:val="17"/>
                <w:szCs w:val="17"/>
                <w:color w:val="auto"/>
              </w:rPr>
            </w:pP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130,526,577</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971,041</w:t>
            </w:r>
          </w:p>
        </w:tc>
      </w:tr>
      <w:tr>
        <w:trPr>
          <w:trHeight w:val="203"/>
        </w:trPr>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Ronald E. Ferguson</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130,567,634</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929,984</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Ellen M. Hancock</w:t>
            </w:r>
          </w:p>
        </w:tc>
        <w:tc>
          <w:tcPr>
            <w:tcW w:w="780" w:type="dxa"/>
            <w:vAlign w:val="bottom"/>
          </w:tcPr>
          <w:p>
            <w:pPr>
              <w:spacing w:after="0"/>
              <w:rPr>
                <w:sz w:val="17"/>
                <w:szCs w:val="17"/>
                <w:color w:val="auto"/>
              </w:rPr>
            </w:pP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130,543,089</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954,529</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David W. Johnson</w:t>
            </w:r>
          </w:p>
        </w:tc>
        <w:tc>
          <w:tcPr>
            <w:tcW w:w="780" w:type="dxa"/>
            <w:vAlign w:val="bottom"/>
          </w:tcPr>
          <w:p>
            <w:pPr>
              <w:spacing w:after="0"/>
              <w:rPr>
                <w:sz w:val="17"/>
                <w:szCs w:val="17"/>
                <w:color w:val="auto"/>
              </w:rPr>
            </w:pP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130,514,681</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982,937</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P. Kendall</w:t>
            </w:r>
          </w:p>
        </w:tc>
        <w:tc>
          <w:tcPr>
            <w:tcW w:w="780" w:type="dxa"/>
            <w:vAlign w:val="bottom"/>
          </w:tcPr>
          <w:p>
            <w:pPr>
              <w:spacing w:after="0"/>
              <w:rPr>
                <w:sz w:val="17"/>
                <w:szCs w:val="17"/>
                <w:color w:val="auto"/>
              </w:rPr>
            </w:pP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130,475,206</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1,022,412</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Delano E. Lewis</w:t>
            </w:r>
          </w:p>
        </w:tc>
        <w:tc>
          <w:tcPr>
            <w:tcW w:w="780" w:type="dxa"/>
            <w:vAlign w:val="bottom"/>
          </w:tcPr>
          <w:p>
            <w:pPr>
              <w:spacing w:after="0"/>
              <w:rPr>
                <w:sz w:val="17"/>
                <w:szCs w:val="17"/>
                <w:color w:val="auto"/>
              </w:rPr>
            </w:pP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130,494,411</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1,003,207</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Reuben Mark</w:t>
            </w:r>
          </w:p>
        </w:tc>
        <w:tc>
          <w:tcPr>
            <w:tcW w:w="780" w:type="dxa"/>
            <w:vAlign w:val="bottom"/>
          </w:tcPr>
          <w:p>
            <w:pPr>
              <w:spacing w:after="0"/>
              <w:rPr>
                <w:sz w:val="17"/>
                <w:szCs w:val="17"/>
                <w:color w:val="auto"/>
              </w:rPr>
            </w:pP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130,543,907</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953,711</w:t>
            </w:r>
          </w:p>
        </w:tc>
      </w:tr>
      <w:tr>
        <w:trPr>
          <w:trHeight w:val="203"/>
        </w:trPr>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Howard B. Wentz, Jr.</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130,569,951</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927,667</w:t>
            </w:r>
          </w:p>
        </w:tc>
      </w:tr>
    </w:tbl>
    <w:p>
      <w:pPr>
        <w:spacing w:after="0" w:line="207" w:lineRule="exact"/>
        <w:rPr>
          <w:sz w:val="20"/>
          <w:szCs w:val="20"/>
          <w:color w:val="auto"/>
        </w:rPr>
      </w:pPr>
    </w:p>
    <w:p>
      <w:pPr>
        <w:ind w:left="1380" w:right="3479" w:hanging="529"/>
        <w:spacing w:after="0" w:line="268" w:lineRule="auto"/>
        <w:tabs>
          <w:tab w:leader="none" w:pos="1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selection of Arthur Andersen &amp; Co. as auditors for the year ending December 31, 1994 was approved.</w:t>
      </w: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results of the vote are as follows:</w:t>
      </w:r>
    </w:p>
    <w:p>
      <w:pPr>
        <w:sectPr>
          <w:pgSz w:w="11900" w:h="16838" w:orient="portrait"/>
          <w:cols w:equalWidth="0" w:num="1">
            <w:col w:w="10219"/>
          </w:cols>
          <w:pgMar w:left="240" w:top="514" w:right="1440" w:bottom="1440" w:gutter="0" w:footer="0" w:header="0"/>
        </w:sectPr>
      </w:pPr>
    </w:p>
    <w:p>
      <w:pPr>
        <w:spacing w:after="0" w:line="202" w:lineRule="exact"/>
        <w:rPr>
          <w:sz w:val="20"/>
          <w:szCs w:val="20"/>
          <w:color w:val="auto"/>
        </w:rPr>
      </w:pPr>
    </w:p>
    <w:p>
      <w:pPr>
        <w:jc w:val="center"/>
        <w:ind w:left="1900"/>
        <w:spacing w:after="0"/>
        <w:rPr>
          <w:sz w:val="20"/>
          <w:szCs w:val="20"/>
          <w:color w:val="auto"/>
        </w:rPr>
      </w:pPr>
      <w:r>
        <w:rPr>
          <w:rFonts w:ascii="Courier New" w:cs="Courier New" w:eastAsia="Courier New" w:hAnsi="Courier New"/>
          <w:sz w:val="18"/>
          <w:szCs w:val="18"/>
          <w:color w:val="auto"/>
        </w:rPr>
        <w:t>Votes For</w:t>
      </w:r>
    </w:p>
    <w:p>
      <w:pPr>
        <w:spacing w:after="0" w:line="4" w:lineRule="exact"/>
        <w:rPr>
          <w:sz w:val="20"/>
          <w:szCs w:val="20"/>
          <w:color w:val="auto"/>
        </w:rPr>
      </w:pPr>
    </w:p>
    <w:p>
      <w:pPr>
        <w:jc w:val="center"/>
        <w:ind w:left="1900"/>
        <w:spacing w:after="0"/>
        <w:rPr>
          <w:sz w:val="20"/>
          <w:szCs w:val="20"/>
          <w:color w:val="auto"/>
        </w:rPr>
      </w:pPr>
      <w:r>
        <w:rPr>
          <w:rFonts w:ascii="Courier New" w:cs="Courier New" w:eastAsia="Courier New" w:hAnsi="Courier New"/>
          <w:sz w:val="16"/>
          <w:szCs w:val="16"/>
          <w:color w:val="auto"/>
        </w:rPr>
        <w:t>129,012,423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Votes Against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1,665,141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Abstentions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820,054</w:t>
      </w:r>
    </w:p>
    <w:p>
      <w:pPr>
        <w:spacing w:after="0" w:line="200" w:lineRule="exact"/>
        <w:rPr>
          <w:sz w:val="20"/>
          <w:szCs w:val="20"/>
          <w:color w:val="auto"/>
        </w:rPr>
      </w:pPr>
    </w:p>
    <w:p>
      <w:pPr>
        <w:sectPr>
          <w:pgSz w:w="11900" w:h="16838" w:orient="portrait"/>
          <w:cols w:equalWidth="0" w:num="3">
            <w:col w:w="3060" w:space="520"/>
            <w:col w:w="1380" w:space="520"/>
            <w:col w:w="4739"/>
          </w:cols>
          <w:pgMar w:left="240" w:top="514" w:right="1440" w:bottom="1440" w:gutter="0" w:footer="0" w:header="0"/>
          <w:type w:val="continuous"/>
        </w:sectPr>
      </w:pPr>
    </w:p>
    <w:p>
      <w:pPr>
        <w:spacing w:after="0" w:line="7" w:lineRule="exact"/>
        <w:rPr>
          <w:sz w:val="20"/>
          <w:szCs w:val="20"/>
          <w:color w:val="auto"/>
        </w:rPr>
      </w:pPr>
    </w:p>
    <w:p>
      <w:pPr>
        <w:ind w:left="1480" w:right="3039" w:hanging="629"/>
        <w:spacing w:after="0" w:line="268" w:lineRule="auto"/>
        <w:tabs>
          <w:tab w:leader="none" w:pos="126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the Company's Non-Employee Director Stock Option Plan, which allows directors who are not officers or employees of the Company or any subsidiary</w:t>
      </w:r>
    </w:p>
    <w:p>
      <w:pPr>
        <w:spacing w:after="0" w:line="1" w:lineRule="exact"/>
        <w:rPr>
          <w:sz w:val="20"/>
          <w:szCs w:val="20"/>
          <w:color w:val="auto"/>
        </w:rPr>
      </w:pPr>
    </w:p>
    <w:p>
      <w:pPr>
        <w:ind w:left="1280" w:right="3159"/>
        <w:spacing w:after="0" w:line="290" w:lineRule="auto"/>
        <w:rPr>
          <w:sz w:val="20"/>
          <w:szCs w:val="20"/>
          <w:color w:val="auto"/>
        </w:rPr>
      </w:pPr>
      <w:r>
        <w:rPr>
          <w:rFonts w:ascii="Courier New" w:cs="Courier New" w:eastAsia="Courier New" w:hAnsi="Courier New"/>
          <w:sz w:val="16"/>
          <w:szCs w:val="16"/>
          <w:color w:val="auto"/>
        </w:rPr>
        <w:t>of the Company to be eligible to receive stock options, was approved. The results of the vote are as follows:</w:t>
      </w:r>
    </w:p>
    <w:p>
      <w:pPr>
        <w:sectPr>
          <w:pgSz w:w="11900" w:h="16838" w:orient="portrait"/>
          <w:cols w:equalWidth="0" w:num="1">
            <w:col w:w="10219"/>
          </w:cols>
          <w:pgMar w:left="240" w:top="514" w:right="1440" w:bottom="1440" w:gutter="0" w:footer="0" w:header="0"/>
          <w:type w:val="continuous"/>
        </w:sectPr>
      </w:pPr>
    </w:p>
    <w:p>
      <w:pPr>
        <w:spacing w:after="0" w:line="164" w:lineRule="exact"/>
        <w:rPr>
          <w:sz w:val="20"/>
          <w:szCs w:val="20"/>
          <w:color w:val="auto"/>
        </w:rPr>
      </w:pPr>
    </w:p>
    <w:p>
      <w:pPr>
        <w:jc w:val="center"/>
        <w:ind w:left="1900"/>
        <w:spacing w:after="0"/>
        <w:rPr>
          <w:sz w:val="20"/>
          <w:szCs w:val="20"/>
          <w:color w:val="auto"/>
        </w:rPr>
      </w:pPr>
      <w:r>
        <w:rPr>
          <w:rFonts w:ascii="Courier New" w:cs="Courier New" w:eastAsia="Courier New" w:hAnsi="Courier New"/>
          <w:sz w:val="18"/>
          <w:szCs w:val="18"/>
          <w:color w:val="auto"/>
        </w:rPr>
        <w:t>Votes For</w:t>
      </w:r>
    </w:p>
    <w:p>
      <w:pPr>
        <w:spacing w:after="0" w:line="4" w:lineRule="exact"/>
        <w:rPr>
          <w:sz w:val="20"/>
          <w:szCs w:val="20"/>
          <w:color w:val="auto"/>
        </w:rPr>
      </w:pPr>
    </w:p>
    <w:p>
      <w:pPr>
        <w:jc w:val="center"/>
        <w:ind w:left="1900"/>
        <w:spacing w:after="0"/>
        <w:rPr>
          <w:sz w:val="20"/>
          <w:szCs w:val="20"/>
          <w:color w:val="auto"/>
        </w:rPr>
      </w:pPr>
      <w:r>
        <w:rPr>
          <w:rFonts w:ascii="Courier New" w:cs="Courier New" w:eastAsia="Courier New" w:hAnsi="Courier New"/>
          <w:sz w:val="16"/>
          <w:szCs w:val="16"/>
          <w:color w:val="auto"/>
        </w:rPr>
        <w:t>115,782,293</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Votes Against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11,247,008</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Abstentions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4,468,317</w:t>
      </w:r>
    </w:p>
    <w:p>
      <w:pPr>
        <w:spacing w:after="0" w:line="200" w:lineRule="exact"/>
        <w:rPr>
          <w:sz w:val="20"/>
          <w:szCs w:val="20"/>
          <w:color w:val="auto"/>
        </w:rPr>
      </w:pPr>
    </w:p>
    <w:p>
      <w:pPr>
        <w:sectPr>
          <w:pgSz w:w="11900" w:h="16838" w:orient="portrait"/>
          <w:cols w:equalWidth="0" w:num="3">
            <w:col w:w="3060" w:space="520"/>
            <w:col w:w="1380" w:space="640"/>
            <w:col w:w="4619"/>
          </w:cols>
          <w:pgMar w:left="240" w:top="514" w:right="1440" w:bottom="1440" w:gutter="0" w:footer="0" w:header="0"/>
          <w:type w:val="continuous"/>
        </w:sectPr>
      </w:pPr>
    </w:p>
    <w:p>
      <w:pPr>
        <w:spacing w:after="0" w:line="7" w:lineRule="exact"/>
        <w:rPr>
          <w:sz w:val="20"/>
          <w:szCs w:val="20"/>
          <w:color w:val="auto"/>
        </w:rPr>
      </w:pPr>
    </w:p>
    <w:p>
      <w:pPr>
        <w:ind w:left="1280" w:right="3039" w:hanging="429"/>
        <w:spacing w:after="0" w:line="237"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of an amended Executive Incentive Compensation Plan ("EICP Plan"), which incorporates the requirements of Section 162(m) of the Internal Revenue Code into the EICP Plan and thereby maximizes the deductibility of the annual bonuses and long term incentive awards under the EICP Plan, was approved. The results of the vote are as follows:</w:t>
      </w:r>
    </w:p>
    <w:p>
      <w:pPr>
        <w:sectPr>
          <w:pgSz w:w="11900" w:h="16838" w:orient="portrait"/>
          <w:cols w:equalWidth="0" w:num="1">
            <w:col w:w="10219"/>
          </w:cols>
          <w:pgMar w:left="240" w:top="514" w:right="1440" w:bottom="1440" w:gutter="0" w:footer="0" w:header="0"/>
          <w:type w:val="continuous"/>
        </w:sectPr>
      </w:pPr>
    </w:p>
    <w:p>
      <w:pPr>
        <w:spacing w:after="0" w:line="205" w:lineRule="exact"/>
        <w:rPr>
          <w:sz w:val="20"/>
          <w:szCs w:val="20"/>
          <w:color w:val="auto"/>
        </w:rPr>
      </w:pPr>
    </w:p>
    <w:p>
      <w:pPr>
        <w:jc w:val="center"/>
        <w:ind w:left="1900"/>
        <w:spacing w:after="0"/>
        <w:rPr>
          <w:sz w:val="20"/>
          <w:szCs w:val="20"/>
          <w:color w:val="auto"/>
        </w:rPr>
      </w:pPr>
      <w:r>
        <w:rPr>
          <w:rFonts w:ascii="Courier New" w:cs="Courier New" w:eastAsia="Courier New" w:hAnsi="Courier New"/>
          <w:sz w:val="18"/>
          <w:szCs w:val="18"/>
          <w:color w:val="auto"/>
        </w:rPr>
        <w:t>Votes For</w:t>
      </w:r>
    </w:p>
    <w:p>
      <w:pPr>
        <w:spacing w:after="0" w:line="4" w:lineRule="exact"/>
        <w:rPr>
          <w:sz w:val="20"/>
          <w:szCs w:val="20"/>
          <w:color w:val="auto"/>
        </w:rPr>
      </w:pPr>
    </w:p>
    <w:p>
      <w:pPr>
        <w:jc w:val="center"/>
        <w:ind w:left="1900"/>
        <w:spacing w:after="0"/>
        <w:rPr>
          <w:sz w:val="20"/>
          <w:szCs w:val="20"/>
          <w:color w:val="auto"/>
        </w:rPr>
      </w:pPr>
      <w:r>
        <w:rPr>
          <w:rFonts w:ascii="Courier New" w:cs="Courier New" w:eastAsia="Courier New" w:hAnsi="Courier New"/>
          <w:sz w:val="16"/>
          <w:szCs w:val="16"/>
          <w:color w:val="auto"/>
        </w:rPr>
        <w:t>120,743,587</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Votes Against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7,353,687</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6"/>
          <w:szCs w:val="16"/>
          <w:color w:val="auto"/>
        </w:rPr>
        <w:t>Abstentions</w:t>
      </w:r>
    </w:p>
    <w:p>
      <w:pPr>
        <w:spacing w:after="0" w:line="16"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3,400,344</w:t>
      </w:r>
    </w:p>
    <w:p>
      <w:pPr>
        <w:spacing w:after="0" w:line="200" w:lineRule="exact"/>
        <w:rPr>
          <w:sz w:val="20"/>
          <w:szCs w:val="20"/>
          <w:color w:val="auto"/>
        </w:rPr>
      </w:pPr>
    </w:p>
    <w:p>
      <w:pPr>
        <w:sectPr>
          <w:pgSz w:w="11900" w:h="16838" w:orient="portrait"/>
          <w:cols w:equalWidth="0" w:num="3">
            <w:col w:w="3060" w:space="640"/>
            <w:col w:w="1360" w:space="540"/>
            <w:col w:w="4619"/>
          </w:cols>
          <w:pgMar w:left="240" w:top="514" w:right="1440" w:bottom="1440" w:gutter="0" w:footer="0" w:header="0"/>
          <w:type w:val="continuous"/>
        </w:sectPr>
      </w:pPr>
    </w:p>
    <w:p>
      <w:pPr>
        <w:spacing w:after="0" w:line="7" w:lineRule="exact"/>
        <w:rPr>
          <w:sz w:val="20"/>
          <w:szCs w:val="20"/>
          <w:color w:val="auto"/>
        </w:rPr>
      </w:pPr>
    </w:p>
    <w:p>
      <w:pPr>
        <w:ind w:left="1280" w:right="3679" w:hanging="429"/>
        <w:spacing w:after="0" w:line="268" w:lineRule="auto"/>
        <w:tabs>
          <w:tab w:leader="none" w:pos="12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stockholder proposal submitted by College Retirement Equities Fund requesting the Board of Directors to adopt a policy of seeking shareholder approval before issuing preference stock except</w:t>
      </w:r>
    </w:p>
    <w:p>
      <w:pPr>
        <w:ind w:left="1280"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under certain circumstances was not approved. The results of the vote are as follows:</w:t>
      </w:r>
    </w:p>
    <w:p>
      <w:pPr>
        <w:sectPr>
          <w:pgSz w:w="11900" w:h="16838" w:orient="portrait"/>
          <w:cols w:equalWidth="0" w:num="1">
            <w:col w:w="10219"/>
          </w:cols>
          <w:pgMar w:left="240" w:top="514" w:right="1440" w:bottom="1440" w:gutter="0" w:footer="0" w:header="0"/>
          <w:type w:val="continuous"/>
        </w:sectPr>
      </w:pP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Votes For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40,084,032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hanging="104"/>
        <w:spacing w:after="0" w:line="290" w:lineRule="auto"/>
        <w:rPr>
          <w:sz w:val="20"/>
          <w:szCs w:val="20"/>
          <w:color w:val="auto"/>
        </w:rPr>
      </w:pPr>
      <w:r>
        <w:rPr>
          <w:rFonts w:ascii="Courier New" w:cs="Courier New" w:eastAsia="Courier New" w:hAnsi="Courier New"/>
          <w:sz w:val="16"/>
          <w:szCs w:val="16"/>
          <w:color w:val="auto"/>
        </w:rPr>
        <w:t>Votes Against 71,086,395</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Abstentions</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3,974,449</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Broker Non-Votes</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16,352,742</w:t>
      </w:r>
    </w:p>
    <w:p>
      <w:pPr>
        <w:sectPr>
          <w:pgSz w:w="11900" w:h="16838" w:orient="portrait"/>
          <w:cols w:equalWidth="0" w:num="4">
            <w:col w:w="2320" w:space="420"/>
            <w:col w:w="1280" w:space="420"/>
            <w:col w:w="1160" w:space="420"/>
            <w:col w:w="4199"/>
          </w:cols>
          <w:pgMar w:left="240" w:top="514" w:right="1440" w:bottom="1440" w:gutter="0" w:footer="0" w:header="0"/>
          <w:type w:val="continuous"/>
        </w:sectPr>
      </w:pPr>
    </w:p>
    <w:bookmarkStart w:id="9" w:name="page10"/>
    <w:bookmarkEnd w:id="9"/>
    <w:p>
      <w:pPr>
        <w:ind w:left="244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6.Exhibits and Reports on Form 8-K</w:t>
      </w:r>
    </w:p>
    <w:p>
      <w:pPr>
        <w:spacing w:after="0" w:line="201" w:lineRule="exact"/>
        <w:rPr>
          <w:sz w:val="20"/>
          <w:szCs w:val="20"/>
          <w:color w:val="auto"/>
        </w:rPr>
      </w:pPr>
    </w:p>
    <w:p>
      <w:pPr>
        <w:ind w:left="1160" w:hanging="415"/>
        <w:spacing w:after="0"/>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160" w:right="33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Exhibit 11. Computation of Earnings per Common Share. Exhibit 12. Ratio of Earnings to Fixed Charges.</w:t>
      </w:r>
    </w:p>
    <w:p>
      <w:pPr>
        <w:ind w:left="1160" w:right="6939" w:hanging="415"/>
        <w:spacing w:after="0" w:line="470"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ectPr>
          <w:pgSz w:w="11900" w:h="16838" w:orient="portrait"/>
          <w:cols w:equalWidth="0" w:num="1">
            <w:col w:w="10219"/>
          </w:cols>
          <w:pgMar w:left="240" w:top="514" w:right="1440" w:bottom="1440" w:gutter="0" w:footer="0" w:header="0"/>
        </w:sectPr>
      </w:pPr>
    </w:p>
    <w:bookmarkStart w:id="10" w:name="page11"/>
    <w:bookmarkEnd w:id="10"/>
    <w:p>
      <w:pPr>
        <w:ind w:left="32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COLGATE-PALMOLIVE COMPANY</w:t>
      </w:r>
    </w:p>
    <w:p>
      <w:pPr>
        <w:ind w:left="348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200" w:val="left"/>
          <w:tab w:leader="none" w:pos="3140" w:val="left"/>
        </w:tabs>
        <w:rPr>
          <w:sz w:val="20"/>
          <w:szCs w:val="20"/>
          <w:color w:val="auto"/>
        </w:rPr>
      </w:pPr>
      <w:r>
        <w:rPr>
          <w:rFonts w:ascii="Courier New" w:cs="Courier New" w:eastAsia="Courier New" w:hAnsi="Courier New"/>
          <w:sz w:val="18"/>
          <w:szCs w:val="18"/>
          <w:color w:val="auto"/>
        </w:rPr>
        <w:t>May 16, 1994</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Stephen C. Patrick</w:t>
      </w:r>
    </w:p>
    <w:p>
      <w:pPr>
        <w:jc w:val="center"/>
        <w:ind w:right="1559"/>
        <w:spacing w:after="0" w:line="238" w:lineRule="auto"/>
        <w:rPr>
          <w:sz w:val="20"/>
          <w:szCs w:val="20"/>
          <w:color w:val="auto"/>
        </w:rPr>
      </w:pPr>
      <w:r>
        <w:rPr>
          <w:rFonts w:ascii="Courier New" w:cs="Courier New" w:eastAsia="Courier New" w:hAnsi="Courier New"/>
          <w:sz w:val="18"/>
          <w:szCs w:val="18"/>
          <w:color w:val="auto"/>
        </w:rPr>
        <w:t>Stephen C. Patrick</w:t>
      </w:r>
    </w:p>
    <w:p>
      <w:pPr>
        <w:jc w:val="center"/>
        <w:ind w:right="1559"/>
        <w:spacing w:after="0"/>
        <w:rPr>
          <w:sz w:val="20"/>
          <w:szCs w:val="20"/>
          <w:color w:val="auto"/>
        </w:rPr>
      </w:pPr>
      <w:r>
        <w:rPr>
          <w:rFonts w:ascii="Courier New" w:cs="Courier New" w:eastAsia="Courier New" w:hAnsi="Courier New"/>
          <w:sz w:val="18"/>
          <w:szCs w:val="18"/>
          <w:color w:val="auto"/>
        </w:rPr>
        <w:t>Vice President</w:t>
      </w:r>
    </w:p>
    <w:p>
      <w:pPr>
        <w:jc w:val="center"/>
        <w:ind w:right="1559"/>
        <w:spacing w:after="0" w:line="237" w:lineRule="auto"/>
        <w:rPr>
          <w:sz w:val="20"/>
          <w:szCs w:val="20"/>
          <w:color w:val="auto"/>
        </w:rPr>
      </w:pPr>
      <w:r>
        <w:rPr>
          <w:rFonts w:ascii="Courier New" w:cs="Courier New" w:eastAsia="Courier New" w:hAnsi="Courier New"/>
          <w:sz w:val="18"/>
          <w:szCs w:val="18"/>
          <w:color w:val="auto"/>
        </w:rPr>
        <w:t>Corporate Controller</w:t>
      </w:r>
    </w:p>
    <w:p>
      <w:pPr>
        <w:sectPr>
          <w:pgSz w:w="11900" w:h="16838" w:orient="portrait"/>
          <w:cols w:equalWidth="0" w:num="1">
            <w:col w:w="10219"/>
          </w:cols>
          <w:pgMar w:left="240" w:top="919" w:right="1440" w:bottom="1440" w:gutter="0" w:footer="0" w:header="0"/>
        </w:sectPr>
      </w:pPr>
    </w:p>
    <w:bookmarkStart w:id="11" w:name="page12"/>
    <w:bookmarkEnd w:id="11"/>
    <w:p>
      <w:pPr>
        <w:ind w:left="6020"/>
        <w:spacing w:after="0"/>
        <w:rPr>
          <w:sz w:val="20"/>
          <w:szCs w:val="20"/>
          <w:color w:val="auto"/>
        </w:rPr>
      </w:pPr>
      <w:r>
        <w:rPr>
          <w:rFonts w:ascii="Courier New" w:cs="Courier New" w:eastAsia="Courier New" w:hAnsi="Courier New"/>
          <w:sz w:val="18"/>
          <w:szCs w:val="18"/>
          <w:color w:val="auto"/>
        </w:rPr>
        <w:t>Exhibit 11</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Page 1 of 2</w:t>
      </w:r>
    </w:p>
    <w:p>
      <w:pPr>
        <w:spacing w:after="0" w:line="200" w:lineRule="exact"/>
        <w:rPr>
          <w:sz w:val="20"/>
          <w:szCs w:val="20"/>
          <w:color w:val="auto"/>
        </w:rPr>
      </w:pPr>
    </w:p>
    <w:p>
      <w:pPr>
        <w:spacing w:after="0" w:line="22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COMPUTATION OF EARNINGS PER COMMON SHARE</w:t>
      </w:r>
    </w:p>
    <w:p>
      <w:pPr>
        <w:spacing w:after="0" w:line="20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Dollars in Millions Except Per Share Amounts</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6"/>
              </w:rPr>
              <w:t>Three Months Ended March 31,</w:t>
            </w:r>
          </w:p>
        </w:tc>
      </w:t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1994</w:t>
            </w:r>
          </w:p>
        </w:tc>
        <w:tc>
          <w:tcPr>
            <w:tcW w:w="420" w:type="dxa"/>
            <w:vAlign w:val="bottom"/>
          </w:tcPr>
          <w:p>
            <w:pPr>
              <w:spacing w:after="0"/>
              <w:rPr>
                <w:sz w:val="17"/>
                <w:szCs w:val="17"/>
                <w:color w:val="auto"/>
              </w:rPr>
            </w:pP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1993</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Earnings: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 changes in accounting</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140.8</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Deduct:  Dividends on preferred</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net of income taxes</w:t>
            </w:r>
          </w:p>
        </w:tc>
        <w:tc>
          <w:tcPr>
            <w:tcW w:w="5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w:t>
            </w:r>
          </w:p>
        </w:tc>
        <w:tc>
          <w:tcPr>
            <w:tcW w:w="4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w:t>
            </w:r>
          </w:p>
        </w:tc>
      </w:tr>
      <w:tr>
        <w:trPr>
          <w:trHeight w:val="405"/>
        </w:trPr>
        <w:tc>
          <w:tcPr>
            <w:tcW w:w="4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Income applicable to common shares before</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cumulative effect on prior years of</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changes</w:t>
            </w:r>
          </w:p>
        </w:tc>
        <w:tc>
          <w:tcPr>
            <w:tcW w:w="5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144.2</w:t>
            </w:r>
          </w:p>
        </w:tc>
        <w:tc>
          <w:tcPr>
            <w:tcW w:w="4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135.6</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 effect on prior years of</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changes</w:t>
            </w:r>
          </w:p>
        </w:tc>
        <w:tc>
          <w:tcPr>
            <w:tcW w:w="520" w:type="dxa"/>
            <w:vAlign w:val="bottom"/>
          </w:tcPr>
          <w:p>
            <w:pPr>
              <w:spacing w:after="0"/>
              <w:rPr>
                <w:sz w:val="17"/>
                <w:szCs w:val="17"/>
                <w:color w:val="auto"/>
              </w:rPr>
            </w:pPr>
          </w:p>
        </w:tc>
        <w:tc>
          <w:tcPr>
            <w:tcW w:w="9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(358.2)</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Net income (loss) applicable to common</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144.2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(222.6)</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Shares (in millions):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5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147.8</w:t>
            </w:r>
          </w:p>
        </w:tc>
        <w:tc>
          <w:tcPr>
            <w:tcW w:w="4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160.4</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Earnings per common share, primary:</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 changes in accounting</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 effect on prior years of</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changes</w:t>
            </w:r>
          </w:p>
        </w:tc>
        <w:tc>
          <w:tcPr>
            <w:tcW w:w="520" w:type="dxa"/>
            <w:vAlign w:val="bottom"/>
          </w:tcPr>
          <w:p>
            <w:pPr>
              <w:spacing w:after="0"/>
              <w:rPr>
                <w:sz w:val="17"/>
                <w:szCs w:val="17"/>
                <w:color w:val="auto"/>
              </w:rPr>
            </w:pPr>
          </w:p>
        </w:tc>
        <w:tc>
          <w:tcPr>
            <w:tcW w:w="9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 (loss)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(1.39)</w:t>
            </w:r>
          </w:p>
        </w:tc>
      </w:tr>
    </w:tbl>
    <w:p>
      <w:pPr>
        <w:sectPr>
          <w:pgSz w:w="11900" w:h="16838" w:orient="portrait"/>
          <w:cols w:equalWidth="0" w:num="1">
            <w:col w:w="10219"/>
          </w:cols>
          <w:pgMar w:left="240" w:top="514" w:right="1440" w:bottom="1440" w:gutter="0" w:footer="0" w:header="0"/>
        </w:sectPr>
      </w:pPr>
    </w:p>
    <w:bookmarkStart w:id="12" w:name="page13"/>
    <w:bookmarkEnd w:id="12"/>
    <w:p>
      <w:pPr>
        <w:ind w:left="5800"/>
        <w:spacing w:after="0"/>
        <w:rPr>
          <w:sz w:val="20"/>
          <w:szCs w:val="20"/>
          <w:color w:val="auto"/>
        </w:rPr>
      </w:pPr>
      <w:r>
        <w:rPr>
          <w:rFonts w:ascii="Courier New" w:cs="Courier New" w:eastAsia="Courier New" w:hAnsi="Courier New"/>
          <w:sz w:val="18"/>
          <w:szCs w:val="18"/>
          <w:color w:val="auto"/>
        </w:rPr>
        <w:t>Exhibit 11</w:t>
      </w:r>
    </w:p>
    <w:p>
      <w:pPr>
        <w:ind w:left="5800"/>
        <w:spacing w:after="0" w:line="238" w:lineRule="auto"/>
        <w:rPr>
          <w:sz w:val="20"/>
          <w:szCs w:val="20"/>
          <w:color w:val="auto"/>
        </w:rPr>
      </w:pPr>
      <w:r>
        <w:rPr>
          <w:rFonts w:ascii="Courier New" w:cs="Courier New" w:eastAsia="Courier New" w:hAnsi="Courier New"/>
          <w:sz w:val="18"/>
          <w:szCs w:val="18"/>
          <w:color w:val="auto"/>
        </w:rPr>
        <w:t>Page 2 of 2</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COMPUTATION OF EARNINGS PER COMMON SHARE</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Dollars in Millions Except Per Share Amounts</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Three Months Ended March 31,</w:t>
            </w:r>
          </w:p>
        </w:tc>
      </w:tr>
      <w:tr>
        <w:trPr>
          <w:trHeight w:val="203"/>
        </w:trPr>
        <w:tc>
          <w:tcPr>
            <w:tcW w:w="4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2"/>
              </w:rPr>
              <w:t>1994</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ASSUMING FULL DILUTION</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Earnings: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 changes in accounting</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149.6</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$ 140.8</w:t>
            </w: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Deduct dividends on preferred shares</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Replacement funding resulting from</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Series B</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Convertible Preference Stock,</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of tax</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 changes in accounting,</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 adjusted</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147.4</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 effects on prior years</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accounting changes</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(358.2)</w:t>
            </w:r>
          </w:p>
        </w:tc>
      </w:tr>
      <w:tr>
        <w:trPr>
          <w:trHeight w:val="405"/>
        </w:trPr>
        <w:tc>
          <w:tcPr>
            <w:tcW w:w="4380" w:type="dxa"/>
            <w:vAlign w:val="bottom"/>
          </w:tcPr>
          <w:p>
            <w:pPr>
              <w:ind w:left="120"/>
              <w:spacing w:after="0"/>
              <w:rPr>
                <w:sz w:val="20"/>
                <w:szCs w:val="20"/>
                <w:color w:val="auto"/>
              </w:rPr>
            </w:pPr>
            <w:r>
              <w:rPr>
                <w:rFonts w:ascii="Courier New" w:cs="Courier New" w:eastAsia="Courier New" w:hAnsi="Courier New"/>
                <w:sz w:val="18"/>
                <w:szCs w:val="18"/>
                <w:color w:val="auto"/>
              </w:rPr>
              <w:t>Net income (loss) applicable to common</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147.4</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$(218.7)</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Shares (in millions):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Weighted average number of common</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147.8</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160.4</w:t>
            </w: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Assumed conversion of options reduced by</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number of shares which could have</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been purchased with the proceeds from</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exercise of such options</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Assumed conversion of Series B</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convertible Preference Stock</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Weighted average number of common</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outstanding, as adjusted</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162.2</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175.6</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Earnings per common share, assuming</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full dilution:</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 changes in accounting</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.79</w:t>
            </w: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 effect on prior years of</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changes</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(2.04)</w:t>
            </w: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 (loss)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$(1.25)</w:t>
            </w:r>
          </w:p>
        </w:tc>
      </w:tr>
    </w:tbl>
    <w:p>
      <w:pPr>
        <w:spacing w:after="0" w:line="200" w:lineRule="exact"/>
        <w:rPr>
          <w:sz w:val="20"/>
          <w:szCs w:val="20"/>
          <w:color w:val="auto"/>
        </w:rPr>
      </w:pPr>
    </w:p>
    <w:p>
      <w:pPr>
        <w:spacing w:after="0" w:line="204"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Exhibit 12</w:t>
      </w:r>
    </w:p>
    <w:p>
      <w:pPr>
        <w:spacing w:after="0" w:line="200" w:lineRule="exact"/>
        <w:rPr>
          <w:sz w:val="20"/>
          <w:szCs w:val="20"/>
          <w:color w:val="auto"/>
        </w:rPr>
      </w:pPr>
    </w:p>
    <w:p>
      <w:pPr>
        <w:spacing w:after="0" w:line="20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COMPUTATION OF RATIO OF EARNINGS TO FIXED CHARGES</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(Dollars in Millions)</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gridSpan w:val="2"/>
          </w:tcPr>
          <w:p>
            <w:pPr>
              <w:jc w:val="center"/>
              <w:ind w:left="3932"/>
              <w:spacing w:after="0"/>
              <w:rPr>
                <w:sz w:val="20"/>
                <w:szCs w:val="20"/>
                <w:color w:val="auto"/>
              </w:rPr>
            </w:pPr>
            <w:r>
              <w:rPr>
                <w:rFonts w:ascii="Courier New" w:cs="Courier New" w:eastAsia="Courier New" w:hAnsi="Courier New"/>
                <w:sz w:val="18"/>
                <w:szCs w:val="18"/>
                <w:color w:val="auto"/>
                <w:w w:val="96"/>
              </w:rPr>
              <w:t>Three Months Ended</w:t>
            </w:r>
          </w:p>
        </w:tc>
      </w:tr>
      <w:tr>
        <w:trPr>
          <w:trHeight w:val="203"/>
        </w:trPr>
        <w:tc>
          <w:tcPr>
            <w:tcW w:w="5900" w:type="dxa"/>
            <w:vAlign w:val="bottom"/>
            <w:gridSpan w:val="2"/>
          </w:tcPr>
          <w:p>
            <w:pPr>
              <w:jc w:val="center"/>
              <w:ind w:left="3932"/>
              <w:spacing w:after="0" w:line="203" w:lineRule="exact"/>
              <w:rPr>
                <w:sz w:val="20"/>
                <w:szCs w:val="20"/>
                <w:color w:val="auto"/>
              </w:rPr>
            </w:pPr>
            <w:r>
              <w:rPr>
                <w:rFonts w:ascii="Courier New" w:cs="Courier New" w:eastAsia="Courier New" w:hAnsi="Courier New"/>
                <w:sz w:val="18"/>
                <w:szCs w:val="18"/>
                <w:color w:val="auto"/>
                <w:w w:val="97"/>
              </w:rPr>
              <w:t>March 31, 1994</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4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$230.2</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Add:</w:t>
            </w:r>
          </w:p>
        </w:tc>
        <w:tc>
          <w:tcPr>
            <w:tcW w:w="146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Interest on indebtedness and amortization</w:t>
            </w:r>
          </w:p>
        </w:tc>
        <w:tc>
          <w:tcPr>
            <w:tcW w:w="146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of debt expense and discount or premium</w:t>
            </w:r>
          </w:p>
        </w:tc>
        <w:tc>
          <w:tcPr>
            <w:tcW w:w="14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27.0</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Portion of rents representative of</w:t>
            </w:r>
          </w:p>
        </w:tc>
        <w:tc>
          <w:tcPr>
            <w:tcW w:w="146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factor</w:t>
            </w:r>
          </w:p>
        </w:tc>
        <w:tc>
          <w:tcPr>
            <w:tcW w:w="14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7.6</w:t>
            </w:r>
          </w:p>
        </w:tc>
      </w:tr>
    </w:tbl>
    <w:p>
      <w:pPr>
        <w:sectPr>
          <w:pgSz w:w="11900" w:h="16838" w:orient="portrait"/>
          <w:cols w:equalWidth="0" w:num="1">
            <w:col w:w="10219"/>
          </w:cols>
          <w:pgMar w:left="240" w:top="514" w:right="1440"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Interest on</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ESOP debt, net of dividends</w:t>
            </w:r>
          </w:p>
        </w:tc>
        <w:tc>
          <w:tcPr>
            <w:tcW w:w="200" w:type="dxa"/>
            <w:vAlign w:val="bottom"/>
          </w:tcPr>
          <w:p>
            <w:pPr>
              <w:spacing w:after="0"/>
              <w:rPr>
                <w:sz w:val="17"/>
                <w:szCs w:val="17"/>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Less:</w:t>
            </w: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of less than fifty-percent-owned</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subsidiaries</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4440" w:type="dxa"/>
            <w:vAlign w:val="bottom"/>
            <w:gridSpan w:val="2"/>
          </w:tcPr>
          <w:p>
            <w:pPr>
              <w:spacing w:after="0"/>
              <w:rPr>
                <w:sz w:val="20"/>
                <w:szCs w:val="20"/>
                <w:color w:val="auto"/>
              </w:rPr>
            </w:pPr>
            <w:r>
              <w:rPr>
                <w:rFonts w:ascii="Courier New" w:cs="Courier New" w:eastAsia="Courier New" w:hAnsi="Courier New"/>
                <w:sz w:val="18"/>
                <w:szCs w:val="18"/>
                <w:color w:val="auto"/>
              </w:rPr>
              <w:t>Income as adjusted</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264.8</w:t>
            </w:r>
          </w:p>
        </w:tc>
      </w:tr>
      <w:tr>
        <w:trPr>
          <w:trHeight w:val="405"/>
        </w:trPr>
        <w:tc>
          <w:tcPr>
            <w:tcW w:w="4440" w:type="dxa"/>
            <w:vAlign w:val="bottom"/>
            <w:gridSpan w:val="2"/>
          </w:tcPr>
          <w:p>
            <w:pPr>
              <w:spacing w:after="0"/>
              <w:rPr>
                <w:sz w:val="20"/>
                <w:szCs w:val="20"/>
                <w:color w:val="auto"/>
              </w:rPr>
            </w:pPr>
            <w:r>
              <w:rPr>
                <w:rFonts w:ascii="Courier New" w:cs="Courier New" w:eastAsia="Courier New" w:hAnsi="Courier New"/>
                <w:sz w:val="18"/>
                <w:szCs w:val="18"/>
                <w:color w:val="auto"/>
              </w:rPr>
              <w:t>Fixed Charges: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Interest on</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indebtedness and amortization</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of debt expense and discount or premium</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27.0</w:t>
            </w:r>
          </w:p>
        </w:tc>
      </w:tr>
      <w:tr>
        <w:trPr>
          <w:trHeight w:val="405"/>
        </w:trPr>
        <w:tc>
          <w:tcPr>
            <w:tcW w:w="4440" w:type="dxa"/>
            <w:vAlign w:val="bottom"/>
            <w:gridSpan w:val="2"/>
          </w:tcPr>
          <w:p>
            <w:pPr>
              <w:spacing w:after="0"/>
              <w:rPr>
                <w:sz w:val="20"/>
                <w:szCs w:val="20"/>
                <w:color w:val="auto"/>
              </w:rPr>
            </w:pPr>
            <w:r>
              <w:rPr>
                <w:rFonts w:ascii="Courier New" w:cs="Courier New" w:eastAsia="Courier New" w:hAnsi="Courier New"/>
                <w:sz w:val="18"/>
                <w:szCs w:val="18"/>
                <w:color w:val="auto"/>
              </w:rPr>
              <w:t>Portion of rents representative of</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interest factor</w:t>
            </w: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Interest on</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ESOP debt, net of dividends</w:t>
            </w: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Capitalized</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interest</w:t>
            </w: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Total fixed</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charges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37.0</w:t>
            </w:r>
          </w:p>
        </w:tc>
      </w:tr>
      <w:tr>
        <w:trPr>
          <w:trHeight w:val="405"/>
        </w:trPr>
        <w:tc>
          <w:tcPr>
            <w:tcW w:w="4440" w:type="dxa"/>
            <w:vAlign w:val="bottom"/>
            <w:gridSpan w:val="2"/>
          </w:tcPr>
          <w:p>
            <w:pPr>
              <w:spacing w:after="0"/>
              <w:rPr>
                <w:sz w:val="20"/>
                <w:szCs w:val="20"/>
                <w:color w:val="auto"/>
              </w:rPr>
            </w:pPr>
            <w:r>
              <w:rPr>
                <w:rFonts w:ascii="Courier New" w:cs="Courier New" w:eastAsia="Courier New" w:hAnsi="Courier New"/>
                <w:sz w:val="18"/>
                <w:szCs w:val="18"/>
                <w:color w:val="auto"/>
              </w:rPr>
              <w:t>Ratio of earnings to fixed charges</w:t>
            </w: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7.2</w:t>
            </w:r>
          </w:p>
        </w:tc>
      </w:tr>
    </w:tbl>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In June 1989, the Company's leveraged employee stock ownership plan (ESOP) issued $410.0 of long-term notes due through 2009 bearing an average interest rate of 8.6%. These notes are guaranteed by the Company. Interest incurred on the ESOP's notes was $8.6. This interest is funded through preferred and common stock dividends. The fixed charges presented above include interest on ESOP indebtedness to the extent it is not funded through preferred and common stock dividends.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1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4"/>
    </w:lvl>
  </w:abstractNum>
  <w:abstractNum w:abstractNumId="8">
    <w:nsid w:val="12200854"/>
    <w:multiLevelType w:val="hybridMultilevel"/>
    <w:lvl w:ilvl="0">
      <w:lvlJc w:val="left"/>
      <w:lvlText w:val="(%1)"/>
      <w:numFmt w:val="lowerLetter"/>
      <w:start w:val="5"/>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2019-12-12T22:48:04Z</dcterms:created>
  <dcterms:modified xsi:type="dcterms:W3CDTF">2019-12-12T22:48:04Z</dcterms:modified>
</cp:coreProperties>
</file>