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WENTZ HOWARD B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COLGATE PALMOLIVE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COLGATE-PALMOLIVE COMPANY</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04/29/2004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0000FF"/>
                <w:w w:val="93"/>
              </w:rPr>
              <w:t>300 PARK AVENUE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6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04/29/2004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72</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55.2</w:t>
            </w:r>
          </w:p>
        </w:tc>
        <w:tc>
          <w:tcPr>
            <w:tcW w:w="126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107,036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1,200</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deferred to a stock unit account pursuant to the Deferred Compensation Plan for Non-Employee Directors</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Andrew D. Hendry by power</w:t>
            </w:r>
          </w:p>
        </w:tc>
        <w:tc>
          <w:tcPr>
            <w:tcW w:w="1040" w:type="dxa"/>
            <w:vAlign w:val="bottom"/>
            <w:gridSpan w:val="2"/>
            <w:vMerge w:val="restart"/>
          </w:tcPr>
          <w:p>
            <w:pPr>
              <w:ind w:left="240"/>
              <w:spacing w:after="0"/>
              <w:rPr>
                <w:sz w:val="20"/>
                <w:szCs w:val="20"/>
                <w:color w:val="auto"/>
              </w:rPr>
            </w:pPr>
            <w:r>
              <w:rPr>
                <w:rFonts w:ascii="Arial" w:cs="Arial" w:eastAsia="Arial" w:hAnsi="Arial"/>
                <w:sz w:val="18"/>
                <w:szCs w:val="18"/>
                <w:color w:val="0000FF"/>
                <w:w w:val="86"/>
              </w:rPr>
              <w:t>05/03/2004</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of attorney</w:t>
            </w:r>
          </w:p>
        </w:tc>
        <w:tc>
          <w:tcPr>
            <w:tcW w:w="12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tcBorders>
              <w:bottom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6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264" TargetMode="External"/><Relationship Id="rId13" Type="http://schemas.openxmlformats.org/officeDocument/2006/relationships/hyperlink" Target="http://www.sec.gov/cgi-bin/browse-edgar?action=getcompany&amp;CIK=0000021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2019-12-18T12:58:50Z</dcterms:created>
  <dcterms:modified xsi:type="dcterms:W3CDTF">2019-12-18T12:58:50Z</dcterms:modified>
</cp:coreProperties>
</file>