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80"/>
        <w:spacing w:after="0"/>
        <w:rPr>
          <w:sz w:val="20"/>
          <w:szCs w:val="20"/>
          <w:color w:val="auto"/>
        </w:rPr>
      </w:pPr>
      <w:r>
        <w:rPr>
          <w:rFonts w:ascii="Courier New" w:cs="Courier New" w:eastAsia="Courier New" w:hAnsi="Courier New"/>
          <w:sz w:val="16"/>
          <w:szCs w:val="16"/>
          <w:color w:val="auto"/>
        </w:rPr>
        <w:t>Filed under Rule 433</w:t>
      </w:r>
    </w:p>
    <w:p>
      <w:pPr>
        <w:spacing w:after="0" w:line="2" w:lineRule="exact"/>
        <w:rPr>
          <w:sz w:val="24"/>
          <w:szCs w:val="24"/>
          <w:color w:val="auto"/>
        </w:rPr>
      </w:pPr>
    </w:p>
    <w:p>
      <w:pPr>
        <w:jc w:val="right"/>
        <w:ind w:right="4080"/>
        <w:spacing w:after="0"/>
        <w:rPr>
          <w:sz w:val="20"/>
          <w:szCs w:val="20"/>
          <w:color w:val="auto"/>
        </w:rPr>
      </w:pPr>
      <w:r>
        <w:rPr>
          <w:rFonts w:ascii="Courier New" w:cs="Courier New" w:eastAsia="Courier New" w:hAnsi="Courier New"/>
          <w:sz w:val="16"/>
          <w:szCs w:val="16"/>
          <w:color w:val="auto"/>
        </w:rPr>
        <w:t>File No. 333-126987</w:t>
      </w:r>
    </w:p>
    <w:p>
      <w:pPr>
        <w:spacing w:after="0" w:line="369" w:lineRule="exact"/>
        <w:rPr>
          <w:sz w:val="24"/>
          <w:szCs w:val="24"/>
          <w:color w:val="auto"/>
        </w:rPr>
      </w:pPr>
    </w:p>
    <w:p>
      <w:pPr>
        <w:ind w:left="2200"/>
        <w:spacing w:after="0"/>
        <w:rPr>
          <w:sz w:val="20"/>
          <w:szCs w:val="20"/>
          <w:color w:val="auto"/>
        </w:rPr>
      </w:pPr>
      <w:r>
        <w:rPr>
          <w:rFonts w:ascii="Courier New" w:cs="Courier New" w:eastAsia="Courier New" w:hAnsi="Courier New"/>
          <w:sz w:val="16"/>
          <w:szCs w:val="16"/>
          <w:color w:val="auto"/>
        </w:rPr>
        <w:t>[LOGO OMITTED]COLGATE-PALMOLIVE</w:t>
      </w:r>
    </w:p>
    <w:p>
      <w:pPr>
        <w:spacing w:after="0" w:line="1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40-Year Floating Rate Notes</w:t>
      </w:r>
    </w:p>
    <w:p>
      <w:pPr>
        <w:spacing w:after="0" w:line="18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Final Terms and Conditions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181"/>
        </w:trPr>
        <w:tc>
          <w:tcPr>
            <w:tcW w:w="2520" w:type="dxa"/>
            <w:vAlign w:val="bottom"/>
          </w:tcPr>
          <w:p>
            <w:pPr>
              <w:spacing w:after="0"/>
              <w:rPr>
                <w:sz w:val="20"/>
                <w:szCs w:val="20"/>
                <w:color w:val="auto"/>
              </w:rPr>
            </w:pPr>
            <w:r>
              <w:rPr>
                <w:rFonts w:ascii="Courier New" w:cs="Courier New" w:eastAsia="Courier New" w:hAnsi="Courier New"/>
                <w:sz w:val="16"/>
                <w:szCs w:val="16"/>
                <w:color w:val="auto"/>
              </w:rPr>
              <w:t>Issuer:</w:t>
            </w:r>
          </w:p>
        </w:tc>
        <w:tc>
          <w:tcPr>
            <w:tcW w:w="43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Colgate-Palmolive Company (the "Company")</w:t>
            </w:r>
          </w:p>
        </w:tc>
        <w:tc>
          <w:tcPr>
            <w:tcW w:w="680" w:type="dxa"/>
            <w:vAlign w:val="bottom"/>
          </w:tcPr>
          <w:p>
            <w:pPr>
              <w:spacing w:after="0"/>
              <w:rPr>
                <w:sz w:val="15"/>
                <w:szCs w:val="15"/>
                <w:color w:val="auto"/>
              </w:rPr>
            </w:pP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Security Offered:</w:t>
            </w:r>
          </w:p>
        </w:tc>
        <w:tc>
          <w:tcPr>
            <w:tcW w:w="43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Floating Rate Notes (the "Notes")</w:t>
            </w:r>
          </w:p>
        </w:tc>
        <w:tc>
          <w:tcPr>
            <w:tcW w:w="680" w:type="dxa"/>
            <w:vAlign w:val="bottom"/>
          </w:tcPr>
          <w:p>
            <w:pPr>
              <w:spacing w:after="0"/>
              <w:rPr>
                <w:sz w:val="24"/>
                <w:szCs w:val="24"/>
                <w:color w:val="auto"/>
              </w:rPr>
            </w:pP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Ratings:</w:t>
            </w: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Aa3/AA-</w:t>
            </w:r>
          </w:p>
        </w:tc>
        <w:tc>
          <w:tcPr>
            <w:tcW w:w="2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Principal Amount:</w:t>
            </w:r>
          </w:p>
        </w:tc>
        <w:tc>
          <w:tcPr>
            <w:tcW w:w="43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US$ 82,825,000</w:t>
            </w:r>
          </w:p>
        </w:tc>
        <w:tc>
          <w:tcPr>
            <w:tcW w:w="680" w:type="dxa"/>
            <w:vAlign w:val="bottom"/>
          </w:tcPr>
          <w:p>
            <w:pPr>
              <w:spacing w:after="0"/>
              <w:rPr>
                <w:sz w:val="24"/>
                <w:szCs w:val="24"/>
                <w:color w:val="auto"/>
              </w:rPr>
            </w:pP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Interest Rate:</w:t>
            </w: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3-Month US$</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LIBOR minus 30 basis points</w:t>
            </w:r>
          </w:p>
        </w:tc>
        <w:tc>
          <w:tcPr>
            <w:tcW w:w="680" w:type="dxa"/>
            <w:vAlign w:val="bottom"/>
          </w:tcPr>
          <w:p>
            <w:pPr>
              <w:spacing w:after="0"/>
              <w:rPr>
                <w:sz w:val="24"/>
                <w:szCs w:val="24"/>
                <w:color w:val="auto"/>
              </w:rPr>
            </w:pP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Trade Date:</w:t>
            </w:r>
          </w:p>
        </w:tc>
        <w:tc>
          <w:tcPr>
            <w:tcW w:w="43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November 28, 2006</w:t>
            </w:r>
          </w:p>
        </w:tc>
        <w:tc>
          <w:tcPr>
            <w:tcW w:w="680" w:type="dxa"/>
            <w:vAlign w:val="bottom"/>
          </w:tcPr>
          <w:p>
            <w:pPr>
              <w:spacing w:after="0"/>
              <w:rPr>
                <w:sz w:val="24"/>
                <w:szCs w:val="24"/>
                <w:color w:val="auto"/>
              </w:rPr>
            </w:pP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Settlement Date:</w:t>
            </w: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December 4,</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2006</w:t>
            </w:r>
          </w:p>
        </w:tc>
        <w:tc>
          <w:tcPr>
            <w:tcW w:w="680" w:type="dxa"/>
            <w:vAlign w:val="bottom"/>
          </w:tcPr>
          <w:p>
            <w:pPr>
              <w:spacing w:after="0"/>
              <w:rPr>
                <w:sz w:val="24"/>
                <w:szCs w:val="24"/>
                <w:color w:val="auto"/>
              </w:rPr>
            </w:pP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Maturity Date:</w:t>
            </w: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December 4,</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2046</w:t>
            </w:r>
          </w:p>
        </w:tc>
        <w:tc>
          <w:tcPr>
            <w:tcW w:w="680" w:type="dxa"/>
            <w:vAlign w:val="bottom"/>
          </w:tcPr>
          <w:p>
            <w:pPr>
              <w:spacing w:after="0"/>
              <w:rPr>
                <w:sz w:val="24"/>
                <w:szCs w:val="24"/>
                <w:color w:val="auto"/>
              </w:rPr>
            </w:pP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Price to Public:</w:t>
            </w: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100%</w:t>
            </w:r>
          </w:p>
        </w:tc>
        <w:tc>
          <w:tcPr>
            <w:tcW w:w="2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Gross Spread:</w:t>
            </w: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1.00%</w:t>
            </w:r>
          </w:p>
        </w:tc>
        <w:tc>
          <w:tcPr>
            <w:tcW w:w="2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Proceeds to Issuer:</w:t>
            </w: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99.00%</w:t>
            </w:r>
          </w:p>
        </w:tc>
        <w:tc>
          <w:tcPr>
            <w:tcW w:w="2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Interest Payment Dates:</w:t>
            </w: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Interest is</w:t>
            </w:r>
          </w:p>
        </w:tc>
        <w:tc>
          <w:tcPr>
            <w:tcW w:w="3540" w:type="dxa"/>
            <w:vAlign w:val="bottom"/>
            <w:gridSpan w:val="2"/>
          </w:tcPr>
          <w:p>
            <w:pPr>
              <w:spacing w:after="0"/>
              <w:rPr>
                <w:sz w:val="20"/>
                <w:szCs w:val="20"/>
                <w:color w:val="auto"/>
              </w:rPr>
            </w:pPr>
            <w:r>
              <w:rPr>
                <w:rFonts w:ascii="Courier New" w:cs="Courier New" w:eastAsia="Courier New" w:hAnsi="Courier New"/>
                <w:sz w:val="16"/>
                <w:szCs w:val="16"/>
                <w:color w:val="auto"/>
              </w:rPr>
              <w:t>payable quarterly on the 4th of</w:t>
            </w:r>
          </w:p>
        </w:tc>
      </w:tr>
      <w:tr>
        <w:trPr>
          <w:trHeight w:val="183"/>
        </w:trPr>
        <w:tc>
          <w:tcPr>
            <w:tcW w:w="252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every three</w:t>
            </w:r>
          </w:p>
        </w:tc>
        <w:tc>
          <w:tcPr>
            <w:tcW w:w="2860" w:type="dxa"/>
            <w:vAlign w:val="bottom"/>
          </w:tcPr>
          <w:p>
            <w:pPr>
              <w:spacing w:after="0"/>
              <w:rPr>
                <w:sz w:val="20"/>
                <w:szCs w:val="20"/>
                <w:color w:val="auto"/>
              </w:rPr>
            </w:pPr>
            <w:r>
              <w:rPr>
                <w:rFonts w:ascii="Courier New" w:cs="Courier New" w:eastAsia="Courier New" w:hAnsi="Courier New"/>
                <w:sz w:val="16"/>
                <w:szCs w:val="16"/>
                <w:color w:val="auto"/>
                <w:w w:val="98"/>
              </w:rPr>
              <w:t>months, commencing on March 4,</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2007.</w:t>
            </w: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Reset Convention /</w:t>
            </w:r>
          </w:p>
        </w:tc>
        <w:tc>
          <w:tcPr>
            <w:tcW w:w="148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3"/>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Interest Reset Dates:</w:t>
            </w:r>
          </w:p>
        </w:tc>
        <w:tc>
          <w:tcPr>
            <w:tcW w:w="502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The interest rate will be reset quarterly, on</w:t>
            </w:r>
          </w:p>
        </w:tc>
      </w:tr>
      <w:tr>
        <w:trPr>
          <w:trHeight w:val="183"/>
        </w:trPr>
        <w:tc>
          <w:tcPr>
            <w:tcW w:w="2520" w:type="dxa"/>
            <w:vAlign w:val="bottom"/>
          </w:tcPr>
          <w:p>
            <w:pPr>
              <w:spacing w:after="0"/>
              <w:rPr>
                <w:sz w:val="15"/>
                <w:szCs w:val="15"/>
                <w:color w:val="auto"/>
              </w:rPr>
            </w:pPr>
          </w:p>
        </w:tc>
        <w:tc>
          <w:tcPr>
            <w:tcW w:w="502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each Interest Payment Date. The 3 Month LIBOR</w:t>
            </w:r>
          </w:p>
        </w:tc>
      </w:tr>
      <w:tr>
        <w:trPr>
          <w:trHeight w:val="183"/>
        </w:trPr>
        <w:tc>
          <w:tcPr>
            <w:tcW w:w="2520" w:type="dxa"/>
            <w:vAlign w:val="bottom"/>
          </w:tcPr>
          <w:p>
            <w:pPr>
              <w:spacing w:after="0"/>
              <w:rPr>
                <w:sz w:val="15"/>
                <w:szCs w:val="15"/>
                <w:color w:val="auto"/>
              </w:rPr>
            </w:pPr>
          </w:p>
        </w:tc>
        <w:tc>
          <w:tcPr>
            <w:tcW w:w="502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rate will be determined on the second London</w:t>
            </w:r>
          </w:p>
        </w:tc>
      </w:tr>
      <w:tr>
        <w:trPr>
          <w:trHeight w:val="183"/>
        </w:trPr>
        <w:tc>
          <w:tcPr>
            <w:tcW w:w="252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banking day</w:t>
            </w:r>
          </w:p>
        </w:tc>
        <w:tc>
          <w:tcPr>
            <w:tcW w:w="3540" w:type="dxa"/>
            <w:vAlign w:val="bottom"/>
            <w:gridSpan w:val="2"/>
          </w:tcPr>
          <w:p>
            <w:pPr>
              <w:spacing w:after="0"/>
              <w:rPr>
                <w:sz w:val="20"/>
                <w:szCs w:val="20"/>
                <w:color w:val="auto"/>
              </w:rPr>
            </w:pPr>
            <w:r>
              <w:rPr>
                <w:rFonts w:ascii="Courier New" w:cs="Courier New" w:eastAsia="Courier New" w:hAnsi="Courier New"/>
                <w:sz w:val="16"/>
                <w:szCs w:val="16"/>
                <w:color w:val="auto"/>
              </w:rPr>
              <w:t>prior to each Interest Reset Date.</w:t>
            </w: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Minimum Denominations:</w:t>
            </w:r>
          </w:p>
        </w:tc>
        <w:tc>
          <w:tcPr>
            <w:tcW w:w="502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The Notes will be issued in denominations of</w:t>
            </w:r>
          </w:p>
        </w:tc>
      </w:tr>
      <w:tr>
        <w:trPr>
          <w:trHeight w:val="183"/>
        </w:trPr>
        <w:tc>
          <w:tcPr>
            <w:tcW w:w="2520" w:type="dxa"/>
            <w:vAlign w:val="bottom"/>
          </w:tcPr>
          <w:p>
            <w:pPr>
              <w:spacing w:after="0"/>
              <w:rPr>
                <w:sz w:val="15"/>
                <w:szCs w:val="15"/>
                <w:color w:val="auto"/>
              </w:rPr>
            </w:pPr>
          </w:p>
        </w:tc>
        <w:tc>
          <w:tcPr>
            <w:tcW w:w="4340" w:type="dxa"/>
            <w:vAlign w:val="bottom"/>
            <w:gridSpan w:val="2"/>
          </w:tcPr>
          <w:p>
            <w:pPr>
              <w:ind w:left="340"/>
              <w:spacing w:after="0"/>
              <w:rPr>
                <w:sz w:val="20"/>
                <w:szCs w:val="20"/>
                <w:color w:val="auto"/>
              </w:rPr>
            </w:pPr>
            <w:r>
              <w:rPr>
                <w:rFonts w:ascii="Courier New" w:cs="Courier New" w:eastAsia="Courier New" w:hAnsi="Courier New"/>
                <w:sz w:val="16"/>
                <w:szCs w:val="16"/>
                <w:color w:val="auto"/>
                <w:w w:val="98"/>
              </w:rPr>
              <w:t>$1,000 and in integral multiples of $1,000</w:t>
            </w:r>
          </w:p>
        </w:tc>
        <w:tc>
          <w:tcPr>
            <w:tcW w:w="680" w:type="dxa"/>
            <w:vAlign w:val="bottom"/>
          </w:tcPr>
          <w:p>
            <w:pPr>
              <w:spacing w:after="0"/>
              <w:rPr>
                <w:sz w:val="15"/>
                <w:szCs w:val="15"/>
                <w:color w:val="auto"/>
              </w:rPr>
            </w:pP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Form:</w:t>
            </w:r>
          </w:p>
        </w:tc>
        <w:tc>
          <w:tcPr>
            <w:tcW w:w="43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DTC, Book-Entry</w:t>
            </w:r>
          </w:p>
        </w:tc>
        <w:tc>
          <w:tcPr>
            <w:tcW w:w="680" w:type="dxa"/>
            <w:vAlign w:val="bottom"/>
          </w:tcPr>
          <w:p>
            <w:pPr>
              <w:spacing w:after="0"/>
              <w:rPr>
                <w:sz w:val="24"/>
                <w:szCs w:val="24"/>
                <w:color w:val="auto"/>
              </w:rPr>
            </w:pP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CUSIP:</w:t>
            </w: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19416QDJ6</w:t>
            </w:r>
          </w:p>
        </w:tc>
        <w:tc>
          <w:tcPr>
            <w:tcW w:w="28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67"/>
        </w:trPr>
        <w:tc>
          <w:tcPr>
            <w:tcW w:w="2520" w:type="dxa"/>
            <w:vAlign w:val="bottom"/>
          </w:tcPr>
          <w:p>
            <w:pPr>
              <w:spacing w:after="0"/>
              <w:rPr>
                <w:sz w:val="20"/>
                <w:szCs w:val="20"/>
                <w:color w:val="auto"/>
              </w:rPr>
            </w:pPr>
            <w:r>
              <w:rPr>
                <w:rFonts w:ascii="Courier New" w:cs="Courier New" w:eastAsia="Courier New" w:hAnsi="Courier New"/>
                <w:sz w:val="16"/>
                <w:szCs w:val="16"/>
                <w:color w:val="auto"/>
              </w:rPr>
              <w:t>Put Provision:</w:t>
            </w:r>
          </w:p>
        </w:tc>
        <w:tc>
          <w:tcPr>
            <w:tcW w:w="5020" w:type="dxa"/>
            <w:vAlign w:val="bottom"/>
            <w:gridSpan w:val="3"/>
          </w:tcPr>
          <w:p>
            <w:pPr>
              <w:ind w:left="340"/>
              <w:spacing w:after="0"/>
              <w:rPr>
                <w:sz w:val="20"/>
                <w:szCs w:val="20"/>
                <w:color w:val="auto"/>
              </w:rPr>
            </w:pPr>
            <w:r>
              <w:rPr>
                <w:rFonts w:ascii="Courier New" w:cs="Courier New" w:eastAsia="Courier New" w:hAnsi="Courier New"/>
                <w:sz w:val="16"/>
                <w:szCs w:val="16"/>
                <w:color w:val="auto"/>
              </w:rPr>
              <w:t>The Notes will be repayable at the option of the</w:t>
            </w:r>
          </w:p>
        </w:tc>
      </w:tr>
      <w:tr>
        <w:trPr>
          <w:trHeight w:val="183"/>
        </w:trPr>
        <w:tc>
          <w:tcPr>
            <w:tcW w:w="252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holder with</w:t>
            </w:r>
          </w:p>
        </w:tc>
        <w:tc>
          <w:tcPr>
            <w:tcW w:w="3540" w:type="dxa"/>
            <w:vAlign w:val="bottom"/>
            <w:gridSpan w:val="2"/>
          </w:tcPr>
          <w:p>
            <w:pPr>
              <w:spacing w:after="0"/>
              <w:rPr>
                <w:sz w:val="20"/>
                <w:szCs w:val="20"/>
                <w:color w:val="auto"/>
              </w:rPr>
            </w:pPr>
            <w:r>
              <w:rPr>
                <w:rFonts w:ascii="Courier New" w:cs="Courier New" w:eastAsia="Courier New" w:hAnsi="Courier New"/>
                <w:sz w:val="16"/>
                <w:szCs w:val="16"/>
                <w:color w:val="auto"/>
              </w:rPr>
              <w:t>at least 30 and not more than 60</w:t>
            </w:r>
          </w:p>
        </w:tc>
      </w:tr>
      <w:tr>
        <w:trPr>
          <w:trHeight w:val="183"/>
        </w:trPr>
        <w:tc>
          <w:tcPr>
            <w:tcW w:w="252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days notice</w:t>
            </w:r>
          </w:p>
        </w:tc>
        <w:tc>
          <w:tcPr>
            <w:tcW w:w="3540" w:type="dxa"/>
            <w:vAlign w:val="bottom"/>
            <w:gridSpan w:val="2"/>
          </w:tcPr>
          <w:p>
            <w:pPr>
              <w:spacing w:after="0"/>
              <w:rPr>
                <w:sz w:val="20"/>
                <w:szCs w:val="20"/>
                <w:color w:val="auto"/>
              </w:rPr>
            </w:pPr>
            <w:r>
              <w:rPr>
                <w:rFonts w:ascii="Courier New" w:cs="Courier New" w:eastAsia="Courier New" w:hAnsi="Courier New"/>
                <w:sz w:val="16"/>
                <w:szCs w:val="16"/>
                <w:color w:val="auto"/>
              </w:rPr>
              <w:t>on the following days and at the</w:t>
            </w:r>
          </w:p>
        </w:tc>
      </w:tr>
      <w:tr>
        <w:trPr>
          <w:trHeight w:val="183"/>
        </w:trPr>
        <w:tc>
          <w:tcPr>
            <w:tcW w:w="2520" w:type="dxa"/>
            <w:vAlign w:val="bottom"/>
          </w:tcPr>
          <w:p>
            <w:pPr>
              <w:spacing w:after="0"/>
              <w:rPr>
                <w:sz w:val="15"/>
                <w:szCs w:val="15"/>
                <w:color w:val="auto"/>
              </w:rPr>
            </w:pPr>
          </w:p>
        </w:tc>
        <w:tc>
          <w:tcPr>
            <w:tcW w:w="43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following prices together with any unpaid</w:t>
            </w:r>
          </w:p>
        </w:tc>
        <w:tc>
          <w:tcPr>
            <w:tcW w:w="680" w:type="dxa"/>
            <w:vAlign w:val="bottom"/>
          </w:tcPr>
          <w:p>
            <w:pPr>
              <w:spacing w:after="0"/>
              <w:rPr>
                <w:sz w:val="15"/>
                <w:szCs w:val="15"/>
                <w:color w:val="auto"/>
              </w:rPr>
            </w:pPr>
          </w:p>
        </w:tc>
      </w:tr>
      <w:tr>
        <w:trPr>
          <w:trHeight w:val="183"/>
        </w:trPr>
        <w:tc>
          <w:tcPr>
            <w:tcW w:w="2520" w:type="dxa"/>
            <w:vAlign w:val="bottom"/>
          </w:tcPr>
          <w:p>
            <w:pPr>
              <w:spacing w:after="0"/>
              <w:rPr>
                <w:sz w:val="15"/>
                <w:szCs w:val="15"/>
                <w:color w:val="auto"/>
              </w:rPr>
            </w:pPr>
          </w:p>
        </w:tc>
        <w:tc>
          <w:tcPr>
            <w:tcW w:w="43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accrued interest to the repayment date:</w:t>
            </w:r>
          </w:p>
        </w:tc>
        <w:tc>
          <w:tcPr>
            <w:tcW w:w="680" w:type="dxa"/>
            <w:vAlign w:val="bottom"/>
          </w:tcPr>
          <w:p>
            <w:pPr>
              <w:spacing w:after="0"/>
              <w:rPr>
                <w:sz w:val="15"/>
                <w:szCs w:val="15"/>
                <w:color w:val="auto"/>
              </w:rPr>
            </w:pPr>
          </w:p>
        </w:tc>
      </w:tr>
      <w:tr>
        <w:trPr>
          <w:trHeight w:val="367"/>
        </w:trPr>
        <w:tc>
          <w:tcPr>
            <w:tcW w:w="2520" w:type="dxa"/>
            <w:vAlign w:val="bottom"/>
          </w:tcPr>
          <w:p>
            <w:pPr>
              <w:spacing w:after="0"/>
              <w:rPr>
                <w:sz w:val="24"/>
                <w:szCs w:val="24"/>
                <w:color w:val="auto"/>
              </w:rPr>
            </w:pPr>
          </w:p>
        </w:tc>
        <w:tc>
          <w:tcPr>
            <w:tcW w:w="43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Repayment Date</w:t>
            </w:r>
          </w:p>
        </w:tc>
        <w:tc>
          <w:tcPr>
            <w:tcW w:w="6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Price</w:t>
            </w:r>
          </w:p>
        </w:tc>
      </w:tr>
      <w:tr>
        <w:trPr>
          <w:trHeight w:val="183"/>
        </w:trPr>
        <w:tc>
          <w:tcPr>
            <w:tcW w:w="252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December 4,</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2007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98.00%</w:t>
            </w:r>
          </w:p>
        </w:tc>
      </w:tr>
      <w:tr>
        <w:trPr>
          <w:trHeight w:val="183"/>
        </w:trPr>
        <w:tc>
          <w:tcPr>
            <w:tcW w:w="252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December 4,</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2008</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98.00%</w:t>
            </w:r>
          </w:p>
        </w:tc>
      </w:tr>
      <w:tr>
        <w:trPr>
          <w:trHeight w:val="183"/>
        </w:trPr>
        <w:tc>
          <w:tcPr>
            <w:tcW w:w="252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December 4,</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2009</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98.00%</w:t>
            </w:r>
          </w:p>
        </w:tc>
      </w:tr>
      <w:tr>
        <w:trPr>
          <w:trHeight w:val="183"/>
        </w:trPr>
        <w:tc>
          <w:tcPr>
            <w:tcW w:w="252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December 4,</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2010</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98.00%</w:t>
            </w:r>
          </w:p>
        </w:tc>
      </w:tr>
      <w:tr>
        <w:trPr>
          <w:trHeight w:val="183"/>
        </w:trPr>
        <w:tc>
          <w:tcPr>
            <w:tcW w:w="252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December 4,</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2011</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98.00%</w:t>
            </w:r>
          </w:p>
        </w:tc>
      </w:tr>
      <w:tr>
        <w:trPr>
          <w:trHeight w:val="183"/>
        </w:trPr>
        <w:tc>
          <w:tcPr>
            <w:tcW w:w="252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December 4,</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2012</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99.00%</w:t>
            </w:r>
          </w:p>
        </w:tc>
      </w:tr>
      <w:tr>
        <w:trPr>
          <w:trHeight w:val="183"/>
        </w:trPr>
        <w:tc>
          <w:tcPr>
            <w:tcW w:w="252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December 4,</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2013</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99.00%</w:t>
            </w:r>
          </w:p>
        </w:tc>
      </w:tr>
      <w:tr>
        <w:trPr>
          <w:trHeight w:val="183"/>
        </w:trPr>
        <w:tc>
          <w:tcPr>
            <w:tcW w:w="252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December 4,</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2014</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99.00%</w:t>
            </w:r>
          </w:p>
        </w:tc>
      </w:tr>
      <w:tr>
        <w:trPr>
          <w:trHeight w:val="183"/>
        </w:trPr>
        <w:tc>
          <w:tcPr>
            <w:tcW w:w="252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December 4,</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2015</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99.00%</w:t>
            </w:r>
          </w:p>
        </w:tc>
      </w:tr>
      <w:tr>
        <w:trPr>
          <w:trHeight w:val="183"/>
        </w:trPr>
        <w:tc>
          <w:tcPr>
            <w:tcW w:w="252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December 4,</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2016</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99.00%</w:t>
            </w:r>
          </w:p>
        </w:tc>
      </w:tr>
      <w:tr>
        <w:trPr>
          <w:trHeight w:val="183"/>
        </w:trPr>
        <w:tc>
          <w:tcPr>
            <w:tcW w:w="252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w w:val="97"/>
              </w:rPr>
              <w:t>December  4,</w:t>
            </w:r>
          </w:p>
        </w:tc>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2017  and  December</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w w:val="98"/>
              </w:rPr>
              <w:t>100.00%</w:t>
            </w:r>
          </w:p>
        </w:tc>
      </w:tr>
      <w:tr>
        <w:trPr>
          <w:trHeight w:val="183"/>
        </w:trPr>
        <w:tc>
          <w:tcPr>
            <w:tcW w:w="2520" w:type="dxa"/>
            <w:vAlign w:val="bottom"/>
          </w:tcPr>
          <w:p>
            <w:pPr>
              <w:spacing w:after="0"/>
              <w:rPr>
                <w:sz w:val="15"/>
                <w:szCs w:val="15"/>
                <w:color w:val="auto"/>
              </w:rPr>
            </w:pP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4  of every</w:t>
            </w:r>
          </w:p>
        </w:tc>
        <w:tc>
          <w:tcPr>
            <w:tcW w:w="2860" w:type="dxa"/>
            <w:vAlign w:val="bottom"/>
          </w:tcPr>
          <w:p>
            <w:pPr>
              <w:spacing w:after="0"/>
              <w:rPr>
                <w:sz w:val="20"/>
                <w:szCs w:val="20"/>
                <w:color w:val="auto"/>
              </w:rPr>
            </w:pPr>
            <w:r>
              <w:rPr>
                <w:rFonts w:ascii="Courier New" w:cs="Courier New" w:eastAsia="Courier New" w:hAnsi="Courier New"/>
                <w:sz w:val="16"/>
                <w:szCs w:val="16"/>
                <w:color w:val="auto"/>
              </w:rPr>
              <w:t>third year thereafter,</w:t>
            </w:r>
          </w:p>
        </w:tc>
        <w:tc>
          <w:tcPr>
            <w:tcW w:w="680" w:type="dxa"/>
            <w:vAlign w:val="bottom"/>
          </w:tcPr>
          <w:p>
            <w:pPr>
              <w:spacing w:after="0"/>
              <w:rPr>
                <w:sz w:val="15"/>
                <w:szCs w:val="15"/>
                <w:color w:val="auto"/>
              </w:rPr>
            </w:pPr>
          </w:p>
        </w:tc>
      </w:tr>
      <w:tr>
        <w:trPr>
          <w:trHeight w:val="183"/>
        </w:trPr>
        <w:tc>
          <w:tcPr>
            <w:tcW w:w="2520" w:type="dxa"/>
            <w:vAlign w:val="bottom"/>
          </w:tcPr>
          <w:p>
            <w:pPr>
              <w:spacing w:after="0"/>
              <w:rPr>
                <w:sz w:val="15"/>
                <w:szCs w:val="15"/>
                <w:color w:val="auto"/>
              </w:rPr>
            </w:pPr>
          </w:p>
        </w:tc>
        <w:tc>
          <w:tcPr>
            <w:tcW w:w="43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commencing December 4, 2020</w:t>
            </w:r>
          </w:p>
        </w:tc>
        <w:tc>
          <w:tcPr>
            <w:tcW w:w="680" w:type="dxa"/>
            <w:vAlign w:val="bottom"/>
          </w:tcPr>
          <w:p>
            <w:pPr>
              <w:spacing w:after="0"/>
              <w:rPr>
                <w:sz w:val="15"/>
                <w:szCs w:val="15"/>
                <w:color w:val="auto"/>
              </w:rPr>
            </w:pPr>
          </w:p>
        </w:tc>
      </w:tr>
    </w:tbl>
    <w:p>
      <w:pPr>
        <w:spacing w:after="0" w:line="200" w:lineRule="exact"/>
        <w:rPr>
          <w:sz w:val="24"/>
          <w:szCs w:val="24"/>
          <w:color w:val="auto"/>
        </w:rPr>
      </w:pPr>
    </w:p>
    <w:p>
      <w:pPr>
        <w:sectPr>
          <w:pgSz w:w="11900" w:h="16838" w:orient="portrait"/>
          <w:cols w:equalWidth="0" w:num="1">
            <w:col w:w="11520"/>
          </w:cols>
          <w:pgMar w:left="240" w:top="237" w:right="1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[LOGO OMITTED]Citigroup</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[LOGO OMITTED]MerrillLynch</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[LOGO OMITTED]Morgan Stanley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[LOGO OMITTED]UBS</w:t>
      </w:r>
    </w:p>
    <w:p>
      <w:pPr>
        <w:spacing w:after="0" w:line="11" w:lineRule="exact"/>
        <w:rPr>
          <w:sz w:val="24"/>
          <w:szCs w:val="24"/>
          <w:color w:val="auto"/>
        </w:rPr>
      </w:pPr>
    </w:p>
    <w:p>
      <w:pPr>
        <w:sectPr>
          <w:pgSz w:w="11900" w:h="16838" w:orient="portrait"/>
          <w:cols w:equalWidth="0" w:num="4">
            <w:col w:w="2800" w:space="720"/>
            <w:col w:w="2480" w:space="680"/>
            <w:col w:w="2660" w:space="580"/>
            <w:col w:w="1600"/>
          </w:cols>
          <w:pgMar w:left="240" w:top="237" w:right="139" w:bottom="0" w:gutter="0" w:footer="0" w:header="0"/>
          <w:type w:val="continuous"/>
        </w:sectPr>
      </w:pPr>
    </w:p>
    <w:p>
      <w:pPr>
        <w:ind w:left="1520"/>
        <w:spacing w:after="0"/>
        <w:rPr>
          <w:sz w:val="20"/>
          <w:szCs w:val="20"/>
          <w:color w:val="auto"/>
        </w:rPr>
      </w:pPr>
      <w:r>
        <w:rPr>
          <w:rFonts w:ascii="Courier New" w:cs="Courier New" w:eastAsia="Courier New" w:hAnsi="Courier New"/>
          <w:sz w:val="16"/>
          <w:szCs w:val="16"/>
          <w:color w:val="auto"/>
        </w:rPr>
        <w:t>Corporate and</w:t>
      </w:r>
    </w:p>
    <w:p>
      <w:pPr>
        <w:spacing w:after="0" w:line="5" w:lineRule="exact"/>
        <w:rPr>
          <w:sz w:val="24"/>
          <w:szCs w:val="24"/>
          <w:color w:val="auto"/>
        </w:rPr>
      </w:pPr>
    </w:p>
    <w:p>
      <w:pPr>
        <w:ind w:left="1520"/>
        <w:spacing w:after="0"/>
        <w:rPr>
          <w:sz w:val="20"/>
          <w:szCs w:val="20"/>
          <w:color w:val="auto"/>
        </w:rPr>
      </w:pPr>
      <w:r>
        <w:rPr>
          <w:rFonts w:ascii="Courier New" w:cs="Courier New" w:eastAsia="Courier New" w:hAnsi="Courier New"/>
          <w:sz w:val="15"/>
          <w:szCs w:val="15"/>
          <w:color w:val="auto"/>
        </w:rPr>
        <w:t>Investment Banking</w:t>
      </w:r>
    </w:p>
    <w:p>
      <w:pPr>
        <w:sectPr>
          <w:pgSz w:w="11900" w:h="16838" w:orient="portrait"/>
          <w:cols w:equalWidth="0" w:num="1">
            <w:col w:w="11520"/>
          </w:cols>
          <w:pgMar w:left="240" w:top="237" w:right="1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Call Provision: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Notes may be redeemed, at the option of the</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Company, in whole or in part, with at least 30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and not more than 60 days notice, on December 4,</w:t>
      </w:r>
    </w:p>
    <w:p>
      <w:pPr>
        <w:spacing w:after="0" w:line="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2036 or or any business day thereafter at the</w:t>
      </w:r>
    </w:p>
    <w:p>
      <w:pPr>
        <w:spacing w:after="0" w:line="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following prices together with any unpaid</w:t>
      </w:r>
    </w:p>
    <w:p>
      <w:pPr>
        <w:sectPr>
          <w:pgSz w:w="11900" w:h="16838" w:orient="portrait"/>
          <w:cols w:equalWidth="0" w:num="2">
            <w:col w:w="2140" w:space="720"/>
            <w:col w:w="8660"/>
          </w:cols>
          <w:pgMar w:left="240" w:top="237" w:right="1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1"/>
        </w:trPr>
        <w:tc>
          <w:tcPr>
            <w:tcW w:w="1760" w:type="dxa"/>
            <w:vAlign w:val="bottom"/>
          </w:tcPr>
          <w:p>
            <w:pPr>
              <w:spacing w:after="0"/>
              <w:rPr>
                <w:sz w:val="15"/>
                <w:szCs w:val="15"/>
                <w:color w:val="auto"/>
              </w:rPr>
            </w:pP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w w:val="98"/>
              </w:rPr>
              <w:t>accrued interest to the repayment date:</w:t>
            </w:r>
          </w:p>
        </w:tc>
        <w:tc>
          <w:tcPr>
            <w:tcW w:w="1040" w:type="dxa"/>
            <w:vAlign w:val="bottom"/>
          </w:tcPr>
          <w:p>
            <w:pPr>
              <w:spacing w:after="0"/>
              <w:rPr>
                <w:sz w:val="15"/>
                <w:szCs w:val="15"/>
                <w:color w:val="auto"/>
              </w:rPr>
            </w:pPr>
          </w:p>
        </w:tc>
      </w:tr>
      <w:tr>
        <w:trPr>
          <w:trHeight w:val="367"/>
        </w:trPr>
        <w:tc>
          <w:tcPr>
            <w:tcW w:w="1760" w:type="dxa"/>
            <w:vAlign w:val="bottom"/>
          </w:tcPr>
          <w:p>
            <w:pPr>
              <w:spacing w:after="0"/>
              <w:rPr>
                <w:sz w:val="24"/>
                <w:szCs w:val="24"/>
                <w:color w:val="auto"/>
              </w:rPr>
            </w:pP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rPr>
              <w:t>If Redeemed during the</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Price</w:t>
            </w:r>
          </w:p>
        </w:tc>
      </w:tr>
      <w:tr>
        <w:trPr>
          <w:trHeight w:val="183"/>
        </w:trPr>
        <w:tc>
          <w:tcPr>
            <w:tcW w:w="1760" w:type="dxa"/>
            <w:vAlign w:val="bottom"/>
          </w:tcPr>
          <w:p>
            <w:pPr>
              <w:spacing w:after="0"/>
              <w:rPr>
                <w:sz w:val="15"/>
                <w:szCs w:val="15"/>
                <w:color w:val="auto"/>
              </w:rPr>
            </w:pP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rPr>
              <w:t>12-Month Period Commencing on:</w:t>
            </w:r>
          </w:p>
        </w:tc>
        <w:tc>
          <w:tcPr>
            <w:tcW w:w="104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rPr>
              <w:t>December 4, 2036</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105.00%</w:t>
            </w:r>
          </w:p>
        </w:tc>
      </w:tr>
      <w:tr>
        <w:trPr>
          <w:trHeight w:val="183"/>
        </w:trPr>
        <w:tc>
          <w:tcPr>
            <w:tcW w:w="1760" w:type="dxa"/>
            <w:vAlign w:val="bottom"/>
          </w:tcPr>
          <w:p>
            <w:pPr>
              <w:spacing w:after="0"/>
              <w:rPr>
                <w:sz w:val="15"/>
                <w:szCs w:val="15"/>
                <w:color w:val="auto"/>
              </w:rPr>
            </w:pP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rPr>
              <w:t>December 4, 2037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104.50%</w:t>
            </w:r>
          </w:p>
        </w:tc>
      </w:tr>
      <w:tr>
        <w:trPr>
          <w:trHeight w:val="183"/>
        </w:trPr>
        <w:tc>
          <w:tcPr>
            <w:tcW w:w="1760" w:type="dxa"/>
            <w:vAlign w:val="bottom"/>
          </w:tcPr>
          <w:p>
            <w:pPr>
              <w:spacing w:after="0"/>
              <w:rPr>
                <w:sz w:val="15"/>
                <w:szCs w:val="15"/>
                <w:color w:val="auto"/>
              </w:rPr>
            </w:pP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rPr>
              <w:t>December 4, 2038</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104.00%</w:t>
            </w:r>
          </w:p>
        </w:tc>
      </w:tr>
      <w:tr>
        <w:trPr>
          <w:trHeight w:val="183"/>
        </w:trPr>
        <w:tc>
          <w:tcPr>
            <w:tcW w:w="1760" w:type="dxa"/>
            <w:vAlign w:val="bottom"/>
          </w:tcPr>
          <w:p>
            <w:pPr>
              <w:spacing w:after="0"/>
              <w:rPr>
                <w:sz w:val="15"/>
                <w:szCs w:val="15"/>
                <w:color w:val="auto"/>
              </w:rPr>
            </w:pP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rPr>
              <w:t>December 4, 2039</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103.50%</w:t>
            </w:r>
          </w:p>
        </w:tc>
      </w:tr>
      <w:tr>
        <w:trPr>
          <w:trHeight w:val="183"/>
        </w:trPr>
        <w:tc>
          <w:tcPr>
            <w:tcW w:w="1760" w:type="dxa"/>
            <w:vAlign w:val="bottom"/>
          </w:tcPr>
          <w:p>
            <w:pPr>
              <w:spacing w:after="0"/>
              <w:rPr>
                <w:sz w:val="15"/>
                <w:szCs w:val="15"/>
                <w:color w:val="auto"/>
              </w:rPr>
            </w:pP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rPr>
              <w:t>December 4, 2040</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103.00%</w:t>
            </w:r>
          </w:p>
        </w:tc>
      </w:tr>
      <w:tr>
        <w:trPr>
          <w:trHeight w:val="183"/>
        </w:trPr>
        <w:tc>
          <w:tcPr>
            <w:tcW w:w="1760" w:type="dxa"/>
            <w:vAlign w:val="bottom"/>
          </w:tcPr>
          <w:p>
            <w:pPr>
              <w:spacing w:after="0"/>
              <w:rPr>
                <w:sz w:val="15"/>
                <w:szCs w:val="15"/>
                <w:color w:val="auto"/>
              </w:rPr>
            </w:pP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rPr>
              <w:t>December 4, 2041</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102.50%</w:t>
            </w:r>
          </w:p>
        </w:tc>
      </w:tr>
      <w:tr>
        <w:trPr>
          <w:trHeight w:val="183"/>
        </w:trPr>
        <w:tc>
          <w:tcPr>
            <w:tcW w:w="1760" w:type="dxa"/>
            <w:vAlign w:val="bottom"/>
          </w:tcPr>
          <w:p>
            <w:pPr>
              <w:spacing w:after="0"/>
              <w:rPr>
                <w:sz w:val="15"/>
                <w:szCs w:val="15"/>
                <w:color w:val="auto"/>
              </w:rPr>
            </w:pP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rPr>
              <w:t>December 4, 2042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102.00%</w:t>
            </w:r>
          </w:p>
        </w:tc>
      </w:tr>
      <w:tr>
        <w:trPr>
          <w:trHeight w:val="183"/>
        </w:trPr>
        <w:tc>
          <w:tcPr>
            <w:tcW w:w="1760" w:type="dxa"/>
            <w:vAlign w:val="bottom"/>
          </w:tcPr>
          <w:p>
            <w:pPr>
              <w:spacing w:after="0"/>
              <w:rPr>
                <w:sz w:val="15"/>
                <w:szCs w:val="15"/>
                <w:color w:val="auto"/>
              </w:rPr>
            </w:pP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rPr>
              <w:t>December 4, 2043</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101.50%</w:t>
            </w:r>
          </w:p>
        </w:tc>
      </w:tr>
      <w:tr>
        <w:trPr>
          <w:trHeight w:val="183"/>
        </w:trPr>
        <w:tc>
          <w:tcPr>
            <w:tcW w:w="1760" w:type="dxa"/>
            <w:vAlign w:val="bottom"/>
          </w:tcPr>
          <w:p>
            <w:pPr>
              <w:spacing w:after="0"/>
              <w:rPr>
                <w:sz w:val="15"/>
                <w:szCs w:val="15"/>
                <w:color w:val="auto"/>
              </w:rPr>
            </w:pP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rPr>
              <w:t>December 4, 2044</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101.00%</w:t>
            </w:r>
          </w:p>
        </w:tc>
      </w:tr>
      <w:tr>
        <w:trPr>
          <w:trHeight w:val="183"/>
        </w:trPr>
        <w:tc>
          <w:tcPr>
            <w:tcW w:w="1760" w:type="dxa"/>
            <w:vAlign w:val="bottom"/>
          </w:tcPr>
          <w:p>
            <w:pPr>
              <w:spacing w:after="0"/>
              <w:rPr>
                <w:sz w:val="15"/>
                <w:szCs w:val="15"/>
                <w:color w:val="auto"/>
              </w:rPr>
            </w:pP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rPr>
              <w:t>December 4, 2045 and thereafter</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100.50%</w:t>
            </w:r>
          </w:p>
        </w:tc>
      </w:tr>
      <w:tr>
        <w:trPr>
          <w:trHeight w:val="183"/>
        </w:trPr>
        <w:tc>
          <w:tcPr>
            <w:tcW w:w="1760" w:type="dxa"/>
            <w:vAlign w:val="bottom"/>
          </w:tcPr>
          <w:p>
            <w:pPr>
              <w:spacing w:after="0"/>
              <w:rPr>
                <w:sz w:val="15"/>
                <w:szCs w:val="15"/>
                <w:color w:val="auto"/>
              </w:rPr>
            </w:pP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rPr>
              <w:t>to, but excluding, maturity</w:t>
            </w:r>
          </w:p>
        </w:tc>
        <w:tc>
          <w:tcPr>
            <w:tcW w:w="1040" w:type="dxa"/>
            <w:vAlign w:val="bottom"/>
          </w:tcPr>
          <w:p>
            <w:pPr>
              <w:spacing w:after="0"/>
              <w:rPr>
                <w:sz w:val="15"/>
                <w:szCs w:val="15"/>
                <w:color w:val="auto"/>
              </w:rPr>
            </w:pPr>
          </w:p>
        </w:tc>
      </w:tr>
      <w:tr>
        <w:trPr>
          <w:trHeight w:val="367"/>
        </w:trPr>
        <w:tc>
          <w:tcPr>
            <w:tcW w:w="1760" w:type="dxa"/>
            <w:vAlign w:val="bottom"/>
          </w:tcPr>
          <w:p>
            <w:pPr>
              <w:spacing w:after="0"/>
              <w:rPr>
                <w:sz w:val="20"/>
                <w:szCs w:val="20"/>
                <w:color w:val="auto"/>
              </w:rPr>
            </w:pPr>
            <w:r>
              <w:rPr>
                <w:rFonts w:ascii="Courier New" w:cs="Courier New" w:eastAsia="Courier New" w:hAnsi="Courier New"/>
                <w:sz w:val="16"/>
                <w:szCs w:val="16"/>
                <w:color w:val="auto"/>
              </w:rPr>
              <w:t>Agents:</w:t>
            </w: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rPr>
              <w:t>Citigroup:</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$13,250,000</w:t>
            </w:r>
          </w:p>
        </w:tc>
      </w:tr>
      <w:tr>
        <w:trPr>
          <w:trHeight w:val="183"/>
        </w:trPr>
        <w:tc>
          <w:tcPr>
            <w:tcW w:w="1760" w:type="dxa"/>
            <w:vAlign w:val="bottom"/>
          </w:tcPr>
          <w:p>
            <w:pPr>
              <w:spacing w:after="0"/>
              <w:rPr>
                <w:sz w:val="15"/>
                <w:szCs w:val="15"/>
                <w:color w:val="auto"/>
              </w:rPr>
            </w:pP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rPr>
              <w:t>Merrill Lynch:</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$5,000,000</w:t>
            </w:r>
          </w:p>
        </w:tc>
      </w:tr>
      <w:tr>
        <w:trPr>
          <w:trHeight w:val="183"/>
        </w:trPr>
        <w:tc>
          <w:tcPr>
            <w:tcW w:w="1760" w:type="dxa"/>
            <w:vAlign w:val="bottom"/>
          </w:tcPr>
          <w:p>
            <w:pPr>
              <w:spacing w:after="0"/>
              <w:rPr>
                <w:sz w:val="15"/>
                <w:szCs w:val="15"/>
                <w:color w:val="auto"/>
              </w:rPr>
            </w:pP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rPr>
              <w:t>Morgan Stanley:</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$25,000,000</w:t>
            </w:r>
          </w:p>
        </w:tc>
      </w:tr>
      <w:tr>
        <w:trPr>
          <w:trHeight w:val="183"/>
        </w:trPr>
        <w:tc>
          <w:tcPr>
            <w:tcW w:w="1760" w:type="dxa"/>
            <w:vAlign w:val="bottom"/>
          </w:tcPr>
          <w:p>
            <w:pPr>
              <w:spacing w:after="0"/>
              <w:rPr>
                <w:sz w:val="15"/>
                <w:szCs w:val="15"/>
                <w:color w:val="auto"/>
              </w:rPr>
            </w:pPr>
          </w:p>
        </w:tc>
        <w:tc>
          <w:tcPr>
            <w:tcW w:w="4820" w:type="dxa"/>
            <w:vAlign w:val="bottom"/>
          </w:tcPr>
          <w:p>
            <w:pPr>
              <w:ind w:left="1100"/>
              <w:spacing w:after="0"/>
              <w:rPr>
                <w:sz w:val="20"/>
                <w:szCs w:val="20"/>
                <w:color w:val="auto"/>
              </w:rPr>
            </w:pPr>
            <w:r>
              <w:rPr>
                <w:rFonts w:ascii="Courier New" w:cs="Courier New" w:eastAsia="Courier New" w:hAnsi="Courier New"/>
                <w:sz w:val="16"/>
                <w:szCs w:val="16"/>
                <w:color w:val="auto"/>
              </w:rPr>
              <w:t>UBS: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$39,575,000</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Notes Used as Qualified Replacement Property</w:t>
      </w:r>
    </w:p>
    <w:p>
      <w:pPr>
        <w:spacing w:after="0" w:line="188" w:lineRule="exact"/>
        <w:rPr>
          <w:sz w:val="20"/>
          <w:szCs w:val="20"/>
          <w:color w:val="auto"/>
        </w:rPr>
      </w:pPr>
    </w:p>
    <w:p>
      <w:pPr>
        <w:ind w:right="4080" w:firstLine="572"/>
        <w:spacing w:after="0" w:line="242" w:lineRule="auto"/>
        <w:rPr>
          <w:sz w:val="20"/>
          <w:szCs w:val="20"/>
          <w:color w:val="auto"/>
        </w:rPr>
      </w:pPr>
      <w:r>
        <w:rPr>
          <w:rFonts w:ascii="Courier New" w:cs="Courier New" w:eastAsia="Courier New" w:hAnsi="Courier New"/>
          <w:sz w:val="16"/>
          <w:szCs w:val="16"/>
          <w:color w:val="auto"/>
        </w:rPr>
        <w:t>Prospective investors seeking to treat the Notes as "qualified replacement property" for purposes of Section 1042 of the Internal Revenue Code of 1986, as amended (the "Code"), should be aware that Section 1042 requires the issuer to meet certain requirements in order for the Notes to constitute qualified replacement property. In general, qualified replacement property is a security issued by a domestic corporation that did not, for the taxable year preceding the taxable year in which such security was purchased, have "passive investment income" in excess of 25 percent of the gross receipts of such corporation for such preceding taxable year (the "passive income test"). For purposes of the passive income test, where the issuing corporation is in control of one or more corporations or such issuing corporation is controlled by one or more other corporations, all such corporations are treated as one corporation (the "affiliated group") when computing the amount of passive investment income under Section 1042.</w:t>
      </w:r>
    </w:p>
    <w:p>
      <w:pPr>
        <w:spacing w:after="0" w:line="192" w:lineRule="exact"/>
        <w:rPr>
          <w:sz w:val="20"/>
          <w:szCs w:val="20"/>
          <w:color w:val="auto"/>
        </w:rPr>
      </w:pPr>
    </w:p>
    <w:p>
      <w:pPr>
        <w:ind w:right="4460" w:firstLine="572"/>
        <w:spacing w:after="0" w:line="241" w:lineRule="auto"/>
        <w:rPr>
          <w:sz w:val="20"/>
          <w:szCs w:val="20"/>
          <w:color w:val="auto"/>
        </w:rPr>
      </w:pPr>
      <w:r>
        <w:rPr>
          <w:rFonts w:ascii="Courier New" w:cs="Courier New" w:eastAsia="Courier New" w:hAnsi="Courier New"/>
          <w:sz w:val="16"/>
          <w:szCs w:val="16"/>
          <w:color w:val="auto"/>
        </w:rPr>
        <w:t>Colgate believes that less than 25 percent of its affiliated group's gross receipts is passive investment income for the taxable year ending December 31, 2005. In making this determination, Colgate has made certain assumptions and used procedures which it believes are reasonable. Colgate cannot</w:t>
      </w:r>
    </w:p>
    <w:p>
      <w:pPr>
        <w:sectPr>
          <w:pgSz w:w="11900" w:h="16838" w:orient="portrait"/>
          <w:cols w:equalWidth="0" w:num="1">
            <w:col w:w="11520"/>
          </w:cols>
          <w:pgMar w:left="240" w:top="139"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 OMITTED]Citigroup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 OMITTED]MerrillLynch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 OMITTED]Morgan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 OMITTED]UBS</w:t>
      </w:r>
    </w:p>
    <w:p>
      <w:pPr>
        <w:spacing w:after="0" w:line="11" w:lineRule="exact"/>
        <w:rPr>
          <w:sz w:val="20"/>
          <w:szCs w:val="20"/>
          <w:color w:val="auto"/>
        </w:rPr>
      </w:pPr>
    </w:p>
    <w:p>
      <w:pPr>
        <w:sectPr>
          <w:pgSz w:w="11900" w:h="16838" w:orient="portrait"/>
          <w:cols w:equalWidth="0" w:num="4">
            <w:col w:w="2800" w:space="720"/>
            <w:col w:w="2480" w:space="680"/>
            <w:col w:w="2660" w:space="580"/>
            <w:col w:w="1600"/>
          </w:cols>
          <w:pgMar w:left="240" w:top="139" w:right="139" w:bottom="1440" w:gutter="0" w:footer="0" w:header="0"/>
          <w:type w:val="continuous"/>
        </w:sectPr>
      </w:pPr>
    </w:p>
    <w:p>
      <w:pPr>
        <w:ind w:left="1520"/>
        <w:spacing w:after="0"/>
        <w:rPr>
          <w:sz w:val="20"/>
          <w:szCs w:val="20"/>
          <w:color w:val="auto"/>
        </w:rPr>
      </w:pPr>
      <w:r>
        <w:rPr>
          <w:rFonts w:ascii="Courier New" w:cs="Courier New" w:eastAsia="Courier New" w:hAnsi="Courier New"/>
          <w:sz w:val="16"/>
          <w:szCs w:val="16"/>
          <w:color w:val="auto"/>
        </w:rPr>
        <w:t>Corporate and</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Investment Banking</w:t>
      </w:r>
    </w:p>
    <w:p>
      <w:pPr>
        <w:sectPr>
          <w:pgSz w:w="11900" w:h="16838" w:orient="portrait"/>
          <w:cols w:equalWidth="0" w:num="1">
            <w:col w:w="11520"/>
          </w:cols>
          <w:pgMar w:left="240" w:top="139" w:right="139" w:bottom="1440" w:gutter="0" w:footer="0" w:header="0"/>
          <w:type w:val="continuous"/>
        </w:sectPr>
      </w:pPr>
    </w:p>
    <w:bookmarkStart w:id="2" w:name="page3"/>
    <w:bookmarkEnd w:id="2"/>
    <w:p>
      <w:pPr>
        <w:ind w:right="4360"/>
        <w:spacing w:after="0" w:line="241" w:lineRule="auto"/>
        <w:rPr>
          <w:sz w:val="20"/>
          <w:szCs w:val="20"/>
          <w:color w:val="auto"/>
        </w:rPr>
      </w:pPr>
      <w:r>
        <w:rPr>
          <w:rFonts w:ascii="Courier New" w:cs="Courier New" w:eastAsia="Courier New" w:hAnsi="Courier New"/>
          <w:sz w:val="16"/>
          <w:szCs w:val="16"/>
          <w:color w:val="auto"/>
        </w:rPr>
        <w:t>give any assurance as to whether it will continue to meet the passive income test. It is, in addition, possible that the Internal Revenue Service may disagree with the manner in which Colgate has calculated the affiliated group's gross receipts (including the characterization thereof) and passive investment income and the conclusions reached herein.</w:t>
      </w:r>
    </w:p>
    <w:p>
      <w:pPr>
        <w:spacing w:after="0" w:line="188"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right="4180" w:firstLine="668"/>
        <w:spacing w:after="0" w:line="242" w:lineRule="auto"/>
        <w:rPr>
          <w:sz w:val="20"/>
          <w:szCs w:val="20"/>
          <w:color w:val="auto"/>
        </w:rPr>
      </w:pPr>
      <w:r>
        <w:rPr>
          <w:rFonts w:ascii="Courier New" w:cs="Courier New" w:eastAsia="Courier New" w:hAnsi="Courier New"/>
          <w:sz w:val="16"/>
          <w:szCs w:val="16"/>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 Alternatively, you may request for a copy of the prospectus by calling Citigroup Global Markets Inc. toll free at 1-877-858-5407, Merrill Lynch, Pierce, Fenner &amp; Smith Incorporated toll free at 1-866-500-5408, Morgan Stanley &amp; Co. Incorporated toll free at 1-866-718-1649 or UBS Securities LLC toll-free at 1-888-722-9555, extension 1088.</w:t>
      </w:r>
    </w:p>
    <w:p>
      <w:pPr>
        <w:sectPr>
          <w:pgSz w:w="11900" w:h="16838" w:orient="portrait"/>
          <w:cols w:equalWidth="0" w:num="1">
            <w:col w:w="11520"/>
          </w:cols>
          <w:pgMar w:left="240" w:top="851"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 OMITTED]Citigroup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 OMITTED]MerrillLynch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 OMITTED]Morgan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 OMITTED]UBS</w:t>
      </w:r>
    </w:p>
    <w:p>
      <w:pPr>
        <w:spacing w:after="0" w:line="11" w:lineRule="exact"/>
        <w:rPr>
          <w:sz w:val="20"/>
          <w:szCs w:val="20"/>
          <w:color w:val="auto"/>
        </w:rPr>
      </w:pPr>
    </w:p>
    <w:p>
      <w:pPr>
        <w:sectPr>
          <w:pgSz w:w="11900" w:h="16838" w:orient="portrait"/>
          <w:cols w:equalWidth="0" w:num="4">
            <w:col w:w="2800" w:space="720"/>
            <w:col w:w="2480" w:space="680"/>
            <w:col w:w="2660" w:space="580"/>
            <w:col w:w="1600"/>
          </w:cols>
          <w:pgMar w:left="240" w:top="851" w:right="139" w:bottom="1440" w:gutter="0" w:footer="0" w:header="0"/>
          <w:type w:val="continuous"/>
        </w:sectPr>
      </w:pPr>
    </w:p>
    <w:p>
      <w:pPr>
        <w:ind w:left="1520"/>
        <w:spacing w:after="0"/>
        <w:rPr>
          <w:sz w:val="20"/>
          <w:szCs w:val="20"/>
          <w:color w:val="auto"/>
        </w:rPr>
      </w:pPr>
      <w:r>
        <w:rPr>
          <w:rFonts w:ascii="Courier New" w:cs="Courier New" w:eastAsia="Courier New" w:hAnsi="Courier New"/>
          <w:sz w:val="16"/>
          <w:szCs w:val="16"/>
          <w:color w:val="auto"/>
        </w:rPr>
        <w:t>Corporate and</w:t>
      </w:r>
    </w:p>
    <w:p>
      <w:pPr>
        <w:spacing w:after="0" w:line="5"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Investment Banking</w:t>
      </w:r>
    </w:p>
    <w:sectPr>
      <w:pgSz w:w="11900" w:h="16838" w:orient="portrait"/>
      <w:cols w:equalWidth="0" w:num="1">
        <w:col w:w="11520"/>
      </w:cols>
      <w:pgMar w:left="240" w:top="85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2019-12-12T22:44:04Z</dcterms:created>
  <dcterms:modified xsi:type="dcterms:W3CDTF">2019-12-12T22:44:04Z</dcterms:modified>
</cp:coreProperties>
</file>