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76" w:before="0" w:after="0"/>
        <w:ind w:left="0" w:right="0" w:hanging="2"/>
        <w:jc w:val="center"/>
        <w:rPr>
          <w:rFonts w:ascii="Times New Roman;serif" w:hAnsi="Times New Roman;serif"/>
          <w:b w:val="false"/>
          <w:color w:val="000000"/>
          <w:sz w:val="22"/>
        </w:rPr>
      </w:pPr>
      <w:r>
        <w:rPr>
          <w:rFonts w:ascii="Times New Roman;serif" w:hAnsi="Times New Roman;serif"/>
          <w:b w:val="false"/>
          <w:color w:val="000000"/>
          <w:sz w:val="22"/>
        </w:rPr>
        <w:t>________________</w:t>
      </w:r>
    </w:p>
    <w:p>
      <w:pPr>
        <w:pStyle w:val="TextBody"/>
        <w:bidi w:val="0"/>
        <w:spacing w:before="0" w:after="0"/>
        <w:ind w:left="0" w:right="0" w:hanging="2"/>
        <w:jc w:val="center"/>
        <w:rPr/>
      </w:pPr>
      <w:r>
        <w:rPr/>
      </w:r>
    </w:p>
    <w:p>
      <w:pPr>
        <w:pStyle w:val="TextBody"/>
        <w:bidi w:val="0"/>
        <w:spacing w:lineRule="auto" w:line="276" w:before="0" w:after="0"/>
        <w:ind w:left="0" w:right="0" w:hanging="2"/>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before="0" w:after="0"/>
        <w:ind w:left="0" w:right="0" w:hanging="2"/>
        <w:jc w:val="center"/>
        <w:rPr/>
      </w:pPr>
      <w:r>
        <w:rPr/>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before="0" w:after="0"/>
        <w:ind w:left="0" w:right="0" w:hanging="2"/>
        <w:jc w:val="righ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 July 31, 2026</w:t>
      </w:r>
    </w:p>
    <w:p>
      <w:pPr>
        <w:pStyle w:val="TextBody"/>
        <w:bidi w:val="0"/>
        <w:spacing w:before="0" w:after="0"/>
        <w:jc w:val="center"/>
        <w:rPr/>
      </w:pPr>
      <w:r>
        <w:rPr/>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COLGATE-PALMOLIVE COMPANY</w:t>
      </w:r>
    </w:p>
    <w:p>
      <w:pPr>
        <w:pStyle w:val="TextBody"/>
        <w:bidi w:val="0"/>
        <w:spacing w:lineRule="auto" w:line="276" w:before="0" w:after="0"/>
        <w:ind w:left="0" w:right="0" w:hanging="2"/>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p>
      <w:pPr>
        <w:pStyle w:val="TextBody"/>
        <w:bidi w:val="0"/>
        <w:spacing w:before="0" w:after="0"/>
        <w:jc w:val="center"/>
        <w:rPr/>
      </w:pPr>
      <w:r>
        <w:rPr/>
      </w:r>
    </w:p>
    <w:tbl>
      <w:tblPr>
        <w:tblW w:w="8968" w:type="dxa"/>
        <w:jc w:val="center"/>
        <w:tblInd w:w="0" w:type="dxa"/>
        <w:tblLayout w:type="fixed"/>
        <w:tblCellMar>
          <w:top w:w="28" w:type="dxa"/>
          <w:left w:w="28" w:type="dxa"/>
          <w:bottom w:w="28" w:type="dxa"/>
          <w:right w:w="28" w:type="dxa"/>
        </w:tblCellMar>
      </w:tblPr>
      <w:tblGrid>
        <w:gridCol w:w="1348"/>
        <w:gridCol w:w="1178"/>
        <w:gridCol w:w="1193"/>
        <w:gridCol w:w="780"/>
        <w:gridCol w:w="780"/>
        <w:gridCol w:w="794"/>
        <w:gridCol w:w="847"/>
        <w:gridCol w:w="847"/>
        <w:gridCol w:w="1201"/>
      </w:tblGrid>
      <w:tr>
        <w:trPr/>
        <w:tc>
          <w:tcPr>
            <w:tcW w:w="134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354"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1-644</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13-1815595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tbl>
      <w:tblPr>
        <w:tblW w:w="4777" w:type="dxa"/>
        <w:jc w:val="center"/>
        <w:tblInd w:w="0" w:type="dxa"/>
        <w:tblLayout w:type="fixed"/>
        <w:tblCellMar>
          <w:top w:w="28" w:type="dxa"/>
          <w:left w:w="28" w:type="dxa"/>
          <w:bottom w:w="28" w:type="dxa"/>
          <w:right w:w="28" w:type="dxa"/>
        </w:tblCellMar>
      </w:tblPr>
      <w:tblGrid>
        <w:gridCol w:w="666"/>
        <w:gridCol w:w="585"/>
        <w:gridCol w:w="590"/>
        <w:gridCol w:w="376"/>
        <w:gridCol w:w="376"/>
        <w:gridCol w:w="380"/>
        <w:gridCol w:w="147"/>
        <w:gridCol w:w="147"/>
        <w:gridCol w:w="148"/>
        <w:gridCol w:w="109"/>
        <w:gridCol w:w="109"/>
        <w:gridCol w:w="109"/>
        <w:gridCol w:w="303"/>
        <w:gridCol w:w="303"/>
        <w:gridCol w:w="429"/>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300 Park Avenue,</w:t>
            </w:r>
          </w:p>
        </w:tc>
        <w:tc>
          <w:tcPr>
            <w:tcW w:w="1132"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New York,</w:t>
            </w:r>
          </w:p>
        </w:tc>
        <w:tc>
          <w:tcPr>
            <w:tcW w:w="4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NY</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10022</w:t>
            </w:r>
          </w:p>
        </w:tc>
      </w:tr>
      <w:tr>
        <w:trPr/>
        <w:tc>
          <w:tcPr>
            <w:tcW w:w="3415" w:type="dxa"/>
            <w:gridSpan w:val="9"/>
            <w:tcBorders/>
            <w:tcMar>
              <w:top w:w="0" w:type="dxa"/>
              <w:left w:w="0" w:type="dxa"/>
              <w:bottom w:w="0" w:type="dxa"/>
              <w:right w:w="0" w:type="dxa"/>
            </w:tcMar>
            <w:vAlign w:val="center"/>
          </w:tcPr>
          <w:p>
            <w:pPr>
              <w:pStyle w:val="TableContents"/>
              <w:bidi w:val="0"/>
              <w:spacing w:lineRule="auto" w:line="276" w:before="0" w:after="0"/>
              <w:ind w:left="0" w:right="0" w:hanging="2"/>
              <w:jc w:val="center"/>
              <w:rPr>
                <w:color w:val="000000"/>
              </w:rPr>
            </w:pPr>
            <w:r>
              <w:rPr>
                <w:color w:val="000000"/>
              </w:rPr>
              <w:t> </w:t>
            </w: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76" w:before="0" w:after="0"/>
        <w:jc w:val="center"/>
        <w:rPr>
          <w:color w:val="000000"/>
        </w:rPr>
      </w:pPr>
      <w:r>
        <w:rPr>
          <w:color w:val="000000"/>
        </w:rPr>
        <w:t xml:space="preserve">                                   </w:t>
      </w:r>
    </w:p>
    <w:p>
      <w:pPr>
        <w:pStyle w:val="TextBody"/>
        <w:bidi w:val="0"/>
        <w:spacing w:before="0" w:after="0"/>
        <w:ind w:left="0" w:right="0" w:hanging="2"/>
        <w:jc w:val="center"/>
        <w:rPr/>
      </w:pPr>
      <w:r>
        <w:rPr/>
      </w:r>
    </w:p>
    <w:p>
      <w:pPr>
        <w:pStyle w:val="TextBody"/>
        <w:bidi w:val="0"/>
        <w:spacing w:before="0" w:after="0"/>
        <w:ind w:left="0" w:right="0" w:hanging="2"/>
        <w:jc w:val="left"/>
        <w:rPr/>
      </w:pPr>
      <w:r>
        <w:rPr/>
      </w:r>
    </w:p>
    <w:p>
      <w:pPr>
        <w:pStyle w:val="TextBody"/>
        <w:bidi w:val="0"/>
        <w:spacing w:lineRule="auto" w:line="276" w:before="0" w:after="0"/>
        <w:ind w:left="0" w:right="0" w:hanging="2"/>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val="false"/>
          <w:color w:val="000000"/>
          <w:sz w:val="20"/>
          <w:u w:val="single"/>
        </w:rPr>
        <w:t>(212) 310-2000</w:t>
      </w:r>
    </w:p>
    <w:p>
      <w:pPr>
        <w:pStyle w:val="TextBody"/>
        <w:bidi w:val="0"/>
        <w:spacing w:before="0" w:after="0"/>
        <w:ind w:left="0" w:right="0" w:hanging="2"/>
        <w:jc w:val="left"/>
        <w:rPr/>
      </w:pPr>
      <w:r>
        <w:rPr/>
      </w:r>
    </w:p>
    <w:p>
      <w:pPr>
        <w:pStyle w:val="TextBody"/>
        <w:bidi w:val="0"/>
        <w:spacing w:before="0" w:after="0"/>
        <w:ind w:left="0" w:right="0" w:hanging="2"/>
        <w:jc w:val="center"/>
        <w:rPr/>
      </w:pPr>
      <w:r>
        <w:rPr/>
      </w:r>
    </w:p>
    <w:p>
      <w:pPr>
        <w:pStyle w:val="TextBody"/>
        <w:bidi w:val="0"/>
        <w:spacing w:lineRule="auto" w:line="276" w:before="0" w:after="0"/>
        <w:ind w:left="0" w:right="0" w:hanging="2"/>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0"/>
        <w:ind w:left="0" w:right="0" w:hanging="2"/>
        <w:jc w:val="left"/>
        <w:rPr/>
      </w:pPr>
      <w:r>
        <w:rPr/>
      </w:r>
    </w:p>
    <w:p>
      <w:pPr>
        <w:pStyle w:val="TextBody"/>
        <w:bidi w:val="0"/>
        <w:spacing w:lineRule="auto" w:line="276" w:before="0" w:after="0"/>
        <w:ind w:left="0" w:right="0" w:hanging="2"/>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76" w:before="0" w:after="0"/>
        <w:ind w:left="0" w:right="0" w:hanging="2"/>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76" w:before="0" w:after="0"/>
        <w:ind w:left="0" w:right="0" w:hanging="2"/>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76" w:before="0" w:after="200"/>
        <w:ind w:left="0" w:right="0" w:hanging="2"/>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76" w:before="0" w:after="20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Securities 12(b) of the Act:</w:t>
      </w:r>
    </w:p>
    <w:tbl>
      <w:tblPr>
        <w:tblW w:w="6749" w:type="dxa"/>
        <w:jc w:val="left"/>
        <w:tblInd w:w="0" w:type="dxa"/>
        <w:tblLayout w:type="fixed"/>
        <w:tblCellMar>
          <w:top w:w="28" w:type="dxa"/>
          <w:left w:w="28" w:type="dxa"/>
          <w:bottom w:w="28" w:type="dxa"/>
          <w:right w:w="28" w:type="dxa"/>
        </w:tblCellMar>
      </w:tblPr>
      <w:tblGrid>
        <w:gridCol w:w="985"/>
        <w:gridCol w:w="870"/>
        <w:gridCol w:w="875"/>
        <w:gridCol w:w="563"/>
        <w:gridCol w:w="563"/>
        <w:gridCol w:w="568"/>
        <w:gridCol w:w="681"/>
        <w:gridCol w:w="681"/>
        <w:gridCol w:w="963"/>
      </w:tblGrid>
      <w:tr>
        <w:trPr/>
        <w:tc>
          <w:tcPr>
            <w:tcW w:w="98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color w:val="000000"/>
                <w:sz w:val="20"/>
              </w:rPr>
            </w:pPr>
            <w:r>
              <w:rPr>
                <w:rFonts w:ascii="Times New Roman;serif" w:hAnsi="Times New Roman;serif"/>
                <w:b/>
                <w:color w:val="000000"/>
                <w:sz w:val="20"/>
              </w:rPr>
              <w:t xml:space="preserve">Name of each exchange </w:t>
              <w:br/>
              <w:t>on which registered</w:t>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Common Stock, $1.00 par value</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0.300% Notes due 2029</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CL29</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1.375% Notes due 2034</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CL34</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3.250% Notes due 2035</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CL35</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7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0.875% Notes due 2039</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CL39</w:t>
            </w:r>
          </w:p>
        </w:tc>
        <w:tc>
          <w:tcPr>
            <w:tcW w:w="23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60"/>
        <w:ind w:left="0" w:right="0" w:hanging="2"/>
        <w:jc w:val="left"/>
        <w:rPr/>
      </w:pPr>
      <w:r>
        <w:rPr/>
      </w:r>
    </w:p>
    <w:p>
      <w:pPr>
        <w:pStyle w:val="TextBody"/>
        <w:bidi w:val="0"/>
        <w:spacing w:lineRule="auto" w:line="276" w:before="0" w:after="12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76" w:before="0" w:after="120"/>
        <w:ind w:left="0" w:right="0" w:hanging="2"/>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76" w:before="0" w:after="0"/>
        <w:ind w:left="0" w:right="0" w:hanging="2"/>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hanging="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2"/>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31, 2026, Colgate-Palmolive Company (the “Company”) issued a press release announcing its earnings for the quarter ended June 30, 2026. This press release is attached as Exhibit 99 and is incorporated herein by reference.</w:t>
      </w:r>
    </w:p>
    <w:p>
      <w:pPr>
        <w:pStyle w:val="TextBody"/>
        <w:bidi w:val="0"/>
        <w:spacing w:before="0" w:after="0"/>
        <w:ind w:left="0" w:right="0" w:hanging="2"/>
        <w:jc w:val="left"/>
        <w:rPr/>
      </w:pPr>
      <w:r>
        <w:rPr/>
      </w:r>
    </w:p>
    <w:p>
      <w:pPr>
        <w:pStyle w:val="TextBody"/>
        <w:bidi w:val="0"/>
        <w:spacing w:lineRule="auto" w:line="288"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2.02 of this Current Report is being furnished and shall not be deemed “filed” for the purposes of Section 18 of the Securities Exchange Act of 1934, as amended, or otherwise subject to the liabilities of that Section. The information in Item 2.02 of this Current Report shall not be incorporated by reference into any registration statement or other document pursuant to the Securities Act of 1933, as amended.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pPr>
      <w:r>
        <w:rPr>
          <w:rFonts w:ascii="Times New Roman;serif" w:hAnsi="Times New Roman;serif"/>
          <w:b w:val="false"/>
          <w:color w:val="000000"/>
          <w:sz w:val="20"/>
        </w:rPr>
        <w:t>(d)</w:t>
      </w:r>
      <w:r>
        <w:rPr>
          <w:color w:val="000000"/>
        </w:rPr>
        <w:t>    </w:t>
      </w:r>
      <w:r>
        <w:rPr>
          <w:rFonts w:ascii="Times New Roman;serif" w:hAnsi="Times New Roman;serif"/>
          <w:b w:val="false"/>
          <w:i/>
          <w:color w:val="000000"/>
          <w:sz w:val="20"/>
        </w:rPr>
        <w:t>Exhibits</w:t>
      </w:r>
      <w:r>
        <w:rPr>
          <w:rFonts w:ascii="Times New Roman;serif" w:hAnsi="Times New Roman;serif"/>
          <w:b w:val="false"/>
          <w:color w:val="000000"/>
          <w:sz w:val="20"/>
        </w:rPr>
        <w:t>. The following exhibits are filed with this document: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70"/>
        <w:gridCol w:w="412"/>
        <w:gridCol w:w="414"/>
        <w:gridCol w:w="2604"/>
        <w:gridCol w:w="2604"/>
        <w:gridCol w:w="3701"/>
      </w:tblGrid>
      <w:tr>
        <w:trPr/>
        <w:tc>
          <w:tcPr>
            <w:tcW w:w="47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Number</w:t>
            </w:r>
          </w:p>
        </w:tc>
        <w:tc>
          <w:tcPr>
            <w:tcW w:w="8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left"/>
              <w:rPr/>
            </w:pPr>
            <w:hyperlink w:anchor="q22026pressreleasetables.htm">
              <w:r>
                <w:rPr>
                  <w:rStyle w:val="InternetLink"/>
                  <w:rFonts w:ascii="Times New Roman;serif" w:hAnsi="Times New Roman;serif"/>
                  <w:b w:val="false"/>
                  <w:color w:val="0000FF"/>
                  <w:sz w:val="20"/>
                  <w:u w:val="single"/>
                </w:rPr>
                <w:t>99</w:t>
              </w:r>
            </w:hyperlink>
          </w:p>
        </w:tc>
        <w:tc>
          <w:tcPr>
            <w:tcW w:w="8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left"/>
              <w:rPr/>
            </w:pPr>
            <w:hyperlink w:anchor="q22026pressreleasetables.htm">
              <w:r>
                <w:rPr>
                  <w:rStyle w:val="InternetLink"/>
                  <w:rFonts w:ascii="Times New Roman;serif" w:hAnsi="Times New Roman;serif"/>
                  <w:b w:val="false"/>
                  <w:color w:val="0000FF"/>
                  <w:sz w:val="20"/>
                  <w:u w:val="single"/>
                </w:rPr>
                <w:t>Press release, dated July 31, 2026, issued by Colgate-Palmolive Company</w:t>
              </w:r>
            </w:hyperlink>
            <w:r>
              <w:rPr>
                <w:color w:val="000000"/>
              </w:rPr>
              <w:t xml:space="preserve"> </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eXtensible Business Reporting Language (Inline XBRL) document)</w:t>
            </w:r>
          </w:p>
        </w:tc>
      </w:tr>
    </w:tbl>
    <w:p>
      <w:pPr>
        <w:pStyle w:val="TextBody"/>
        <w:bidi w:val="0"/>
        <w:spacing w:before="0" w:after="0"/>
        <w:ind w:left="0" w:right="0" w:hanging="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hanging="2"/>
        <w:jc w:val="left"/>
        <w:rPr/>
      </w:pPr>
      <w:r>
        <w:rPr/>
      </w:r>
    </w:p>
    <w:p>
      <w:pPr>
        <w:pStyle w:val="TextBody"/>
        <w:bidi w:val="0"/>
        <w:spacing w:lineRule="auto" w:line="192" w:before="0" w:after="0"/>
        <w:ind w:left="0" w:right="0" w:hanging="2"/>
        <w:jc w:val="left"/>
        <w:rPr/>
      </w:pPr>
      <w:r>
        <w:rPr>
          <w:color w:val="000000"/>
        </w:rPr>
        <w:t xml:space="preserve">                                               </w:t>
      </w:r>
      <w:r>
        <w:rPr>
          <w:rFonts w:ascii="Times New Roman;serif" w:hAnsi="Times New Roman;serif"/>
          <w:b w:val="false"/>
          <w:color w:val="FFFFFF"/>
          <w:sz w:val="20"/>
          <w:shd w:fill="FFFFFF" w:val="clear"/>
        </w:rPr>
        <w:t>&gt;</w:t>
      </w:r>
      <w:r>
        <w:rPr>
          <w:color w:val="000000"/>
        </w:rPr>
        <w:t xml:space="preserve">                 </w:t>
      </w:r>
    </w:p>
    <w:tbl>
      <w:tblPr>
        <w:tblW w:w="5905" w:type="dxa"/>
        <w:jc w:val="left"/>
        <w:tblInd w:w="0" w:type="dxa"/>
        <w:tblLayout w:type="fixed"/>
        <w:tblCellMar>
          <w:top w:w="28" w:type="dxa"/>
          <w:left w:w="28" w:type="dxa"/>
          <w:bottom w:w="28" w:type="dxa"/>
          <w:right w:w="28" w:type="dxa"/>
        </w:tblCellMar>
      </w:tblPr>
      <w:tblGrid>
        <w:gridCol w:w="618"/>
        <w:gridCol w:w="544"/>
        <w:gridCol w:w="547"/>
        <w:gridCol w:w="149"/>
        <w:gridCol w:w="149"/>
        <w:gridCol w:w="151"/>
        <w:gridCol w:w="1124"/>
        <w:gridCol w:w="1124"/>
        <w:gridCol w:w="1127"/>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color w:val="000000"/>
                <w:sz w:val="20"/>
              </w:rPr>
            </w:pPr>
            <w:r>
              <w:rPr>
                <w:rFonts w:ascii="Times New Roman;serif" w:hAnsi="Times New Roman;serif"/>
                <w:b/>
                <w:color w:val="000000"/>
                <w:sz w:val="20"/>
              </w:rPr>
              <w:t>COLGATE-PALMOLIVE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37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color w:val="000000"/>
                <w:u w:val="single"/>
              </w:rPr>
            </w:pPr>
            <w:r>
              <w:rPr>
                <w:color w:val="000000"/>
                <w:u w:val="single"/>
              </w:rPr>
              <w:t> </w:t>
            </w:r>
            <w:r>
              <w:rPr>
                <w:rFonts w:ascii="Times New Roman;serif" w:hAnsi="Times New Roman;serif"/>
                <w:b w:val="false"/>
                <w:color w:val="000000"/>
                <w:sz w:val="20"/>
                <w:u w:val="single"/>
              </w:rPr>
              <w:t xml:space="preserve">/s/ Stanley J. Sutula III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 Stanley J. Sutula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ind w:left="0" w:right="0" w:hanging="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160" w:after="160"/>
        <w:jc w:val="right"/>
        <w:rPr>
          <w:rFonts w:ascii="Arial;sans-serif" w:hAnsi="Arial;sans-serif"/>
          <w:b/>
          <w:color w:val="242424"/>
          <w:sz w:val="24"/>
          <w:shd w:fill="FFFFFF" w:val="clear"/>
        </w:rPr>
      </w:pPr>
      <w:r>
        <w:rPr>
          <w:rFonts w:ascii="Arial;sans-serif" w:hAnsi="Arial;sans-serif"/>
          <w:b/>
          <w:color w:val="242424"/>
          <w:sz w:val="24"/>
          <w:shd w:fill="FFFFFF" w:val="clear"/>
        </w:rPr>
        <w:t>Exhibit 99</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25.3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160" w:after="160"/>
        <w:jc w:val="center"/>
        <w:rPr/>
      </w:pPr>
      <w:r>
        <w:rPr/>
        <w:drawing>
          <wp:inline distT="0" distB="0" distL="0" distR="0">
            <wp:extent cx="3200400" cy="400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200400" cy="400050"/>
                    </a:xfrm>
                    <a:prstGeom prst="rect">
                      <a:avLst/>
                    </a:prstGeom>
                  </pic:spPr>
                </pic:pic>
              </a:graphicData>
            </a:graphic>
          </wp:inline>
        </w:drawing>
      </w:r>
    </w:p>
    <w:p>
      <w:pPr>
        <w:pStyle w:val="TextBody"/>
        <w:bidi w:val="0"/>
        <w:spacing w:before="160" w:after="160"/>
        <w:jc w:val="left"/>
        <w:rPr/>
      </w:pPr>
      <w:r>
        <w:rPr/>
      </w:r>
    </w:p>
    <w:p>
      <w:pPr>
        <w:pStyle w:val="TextBody"/>
        <w:bidi w:val="0"/>
        <w:spacing w:lineRule="auto" w:line="417" w:before="160" w:after="160"/>
        <w:jc w:val="center"/>
        <w:rPr>
          <w:rFonts w:ascii="Arial;sans-serif" w:hAnsi="Arial;sans-serif"/>
          <w:b/>
          <w:color w:val="000000"/>
          <w:sz w:val="24"/>
        </w:rPr>
      </w:pPr>
      <w:r>
        <w:rPr>
          <w:rFonts w:ascii="Arial;sans-serif" w:hAnsi="Arial;sans-serif"/>
          <w:b/>
          <w:color w:val="000000"/>
          <w:sz w:val="24"/>
        </w:rPr>
        <w:t>Colgate Announces 2nd Quarter 2026 Results</w:t>
      </w:r>
    </w:p>
    <w:p>
      <w:pPr>
        <w:pStyle w:val="TextBody"/>
        <w:bidi w:val="0"/>
        <w:spacing w:before="160" w:after="160"/>
        <w:jc w:val="left"/>
        <w:rPr/>
      </w:pPr>
      <w:r>
        <w:rPr/>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Net sales increased 4.9%; Organic sales* increased 2.4%, including a 0.4% negative impact from lower private label pet food sales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GAAP EPS decreased 5% to $0.86; Base Business EPS* increased 8% to $0.99</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GAAP Gross profit margin and Base Business Gross profit margin* increased 140 basis points to 61.5%</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Net cash provided by operations was $1,742 million for the first six months of 2026</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The Company’s leadership in toothpaste continued with its global market share at 41.3% year to date</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The Company’s leadership in manual toothbrushes continued with its global market share at 32.7% year to date</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The Company maintained its sales and GAAP earnings per share guidance and updated its gross profit margin and Base Business earnings per share guidance for full year 2026</w:t>
      </w:r>
    </w:p>
    <w:p>
      <w:pPr>
        <w:pStyle w:val="TextBody"/>
        <w:bidi w:val="0"/>
        <w:spacing w:before="0" w:after="0"/>
        <w:jc w:val="left"/>
        <w:rPr/>
      </w:pPr>
      <w:r>
        <w:rPr/>
      </w:r>
    </w:p>
    <w:tbl>
      <w:tblPr>
        <w:tblW w:w="6235" w:type="dxa"/>
        <w:jc w:val="center"/>
        <w:tblInd w:w="0" w:type="dxa"/>
        <w:tblLayout w:type="fixed"/>
        <w:tblCellMar>
          <w:top w:w="28" w:type="dxa"/>
          <w:left w:w="28" w:type="dxa"/>
          <w:bottom w:w="28" w:type="dxa"/>
          <w:right w:w="28" w:type="dxa"/>
        </w:tblCellMar>
      </w:tblPr>
      <w:tblGrid>
        <w:gridCol w:w="1070"/>
        <w:gridCol w:w="942"/>
        <w:gridCol w:w="942"/>
        <w:gridCol w:w="301"/>
        <w:gridCol w:w="301"/>
        <w:gridCol w:w="301"/>
        <w:gridCol w:w="301"/>
        <w:gridCol w:w="301"/>
        <w:gridCol w:w="301"/>
        <w:gridCol w:w="301"/>
        <w:gridCol w:w="301"/>
        <w:gridCol w:w="873"/>
      </w:tblGrid>
      <w:tr>
        <w:trPr/>
        <w:tc>
          <w:tcPr>
            <w:tcW w:w="107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6235" w:type="dxa"/>
            <w:gridSpan w:val="12"/>
            <w:tcBorders>
              <w:top w:val="single" w:sz="8" w:space="0" w:color="000000"/>
              <w:left w:val="single" w:sz="8" w:space="0" w:color="000000"/>
              <w:right w:val="single" w:sz="8" w:space="0" w:color="000000"/>
            </w:tcBorders>
            <w:shd w:fill="C6D9F1" w:val="clear"/>
            <w:tcMar>
              <w:top w:w="52"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Second Quarter Total Company Results (GAAP)</w:t>
            </w:r>
          </w:p>
        </w:tc>
      </w:tr>
      <w:tr>
        <w:trPr/>
        <w:tc>
          <w:tcPr>
            <w:tcW w:w="29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 except per share amounts)</w:t>
            </w:r>
          </w:p>
        </w:tc>
        <w:tc>
          <w:tcPr>
            <w:tcW w:w="90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90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47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9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0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$5,361</w:t>
            </w:r>
          </w:p>
        </w:tc>
        <w:tc>
          <w:tcPr>
            <w:tcW w:w="90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$5,110</w:t>
            </w:r>
          </w:p>
        </w:tc>
        <w:tc>
          <w:tcPr>
            <w:tcW w:w="60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873"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 (diluted)</w:t>
            </w:r>
          </w:p>
        </w:tc>
        <w:tc>
          <w:tcPr>
            <w:tcW w:w="90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$0.86</w:t>
            </w:r>
          </w:p>
        </w:tc>
        <w:tc>
          <w:tcPr>
            <w:tcW w:w="90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$0.91</w:t>
            </w:r>
          </w:p>
        </w:tc>
        <w:tc>
          <w:tcPr>
            <w:tcW w:w="60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73"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12"/>
            <w:tcBorders>
              <w:top w:val="single" w:sz="8" w:space="0" w:color="000000"/>
              <w:left w:val="single" w:sz="8" w:space="0" w:color="000000"/>
              <w:right w:val="single" w:sz="8" w:space="0" w:color="000000"/>
            </w:tcBorders>
            <w:shd w:fill="C6D9F1" w:val="clear"/>
            <w:tcMar>
              <w:top w:w="52"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Second Quarter Total Company Results (Base Business - Non-GAAP)*</w:t>
            </w:r>
          </w:p>
        </w:tc>
      </w:tr>
      <w:tr>
        <w:trPr/>
        <w:tc>
          <w:tcPr>
            <w:tcW w:w="295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90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47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4760" w:type="dxa"/>
            <w:gridSpan w:val="9"/>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 Growth</w:t>
            </w:r>
          </w:p>
        </w:tc>
        <w:tc>
          <w:tcPr>
            <w:tcW w:w="60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73"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 Business EPS (diluted) </w:t>
            </w:r>
          </w:p>
        </w:tc>
        <w:tc>
          <w:tcPr>
            <w:tcW w:w="90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$0.99</w:t>
            </w:r>
          </w:p>
        </w:tc>
        <w:tc>
          <w:tcPr>
            <w:tcW w:w="90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$0.92</w:t>
            </w:r>
          </w:p>
        </w:tc>
        <w:tc>
          <w:tcPr>
            <w:tcW w:w="602"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73" w:type="dxa"/>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60"/>
        <w:jc w:val="left"/>
        <w:rPr>
          <w:rFonts w:ascii="Arial;sans-serif" w:hAnsi="Arial;sans-serif"/>
          <w:b w:val="false"/>
          <w:color w:val="000000"/>
          <w:sz w:val="18"/>
        </w:rPr>
      </w:pPr>
      <w:r>
        <w:rPr>
          <w:rFonts w:ascii="Arial;sans-serif" w:hAnsi="Arial;sans-serif"/>
          <w:b w:val="false"/>
          <w:color w:val="000000"/>
          <w:sz w:val="18"/>
        </w:rPr>
        <w:t xml:space="preserve">*Indicates a non-GAAP financial measure. Please refer to “Non-GAAP Financial Measures” later in this release for definitions of non-GAAP financial measures and to “Table 6 - Geographic Sales Analysis Percentage Changes” and “Table 8 - Non-GAAP Reconciliations” included with this release for a reconciliation of these non-GAAP financial measures to the related GAAP measures. </w:t>
      </w:r>
    </w:p>
    <w:p>
      <w:pPr>
        <w:pStyle w:val="TextBody"/>
        <w:bidi w:val="0"/>
        <w:spacing w:before="100" w:after="160"/>
        <w:jc w:val="left"/>
        <w:rPr/>
      </w:pPr>
      <w:r>
        <w:rPr/>
      </w:r>
    </w:p>
    <w:p>
      <w:pPr>
        <w:pStyle w:val="TextBody"/>
        <w:bidi w:val="0"/>
        <w:spacing w:before="100" w:after="160"/>
        <w:jc w:val="left"/>
        <w:rPr/>
      </w:pPr>
      <w:r>
        <w:rPr/>
      </w:r>
    </w:p>
    <w:p>
      <w:pPr>
        <w:pStyle w:val="TextBody"/>
        <w:bidi w:val="0"/>
        <w:spacing w:before="100" w:after="160"/>
        <w:jc w:val="left"/>
        <w:rPr/>
      </w:pPr>
      <w:r>
        <w:rPr/>
      </w:r>
    </w:p>
    <w:p>
      <w:pPr>
        <w:pStyle w:val="TextBody"/>
        <w:bidi w:val="0"/>
        <w:spacing w:lineRule="auto" w:line="417" w:before="0" w:after="0"/>
        <w:jc w:val="left"/>
        <w:rPr/>
      </w:pPr>
      <w:r>
        <w:rPr>
          <w:rFonts w:ascii="Arial;sans-serif" w:hAnsi="Arial;sans-serif"/>
          <w:b/>
          <w:color w:val="000000"/>
          <w:sz w:val="24"/>
        </w:rPr>
        <w:t>New York, New York, July 31, 2026</w:t>
      </w:r>
      <w:r>
        <w:rPr>
          <w:color w:val="000000"/>
        </w:rPr>
        <w:t>…</w:t>
      </w:r>
      <w:r>
        <w:rPr>
          <w:rFonts w:ascii="Arial;sans-serif" w:hAnsi="Arial;sans-serif"/>
          <w:b w:val="false"/>
          <w:color w:val="000000"/>
          <w:sz w:val="24"/>
        </w:rPr>
        <w:t>Colgate-Palmolive Company (NYSE:CL) today reported results for second quarter 2026. Noel Wallace, Chairman, President and Chief Executive Officer, commented on the Base Business second quarter results, “Our growth momentum continued in the second quarter, as we delivered strong broad-based top- and bottom-line results, despite a difficult operating environment. Net sales and organic sales grew in three of four categories and in four of five divisions with worldwide organic volume growth improving sequentially for the third consecutive quarter. Gross profit margin, operating profit, operating profit margin, net income, earnings per share and free cash flow all increased year over year.</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4"/>
        </w:rPr>
        <w:t>We delivered these strong results while continuing to invest in the long-term health of our business with a 15% increase in advertising this quarter. Strong levels of investment will continue in the back half of the year as we execute against our 2030 strategy with a focus on premium, science-led innovation and omni-channel demand generation to drive brand health and category growth.</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4"/>
        </w:rPr>
        <w:t>While we expect the volatile market conditions to continue in the balance of 2026, we are confident that the strength of our global portfolio and clear business strategy should enable us to deliver consistent, compounded earnings per share growth and drive long-term shareholder value.”</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u w:val="single"/>
        </w:rPr>
      </w:pPr>
      <w:r>
        <w:rPr>
          <w:rFonts w:ascii="Arial;sans-serif" w:hAnsi="Arial;sans-serif"/>
          <w:b/>
          <w:color w:val="000000"/>
          <w:sz w:val="24"/>
          <w:u w:val="single"/>
        </w:rPr>
        <w:t>Full Year 2026 Guidance</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Based on current spot rates: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 xml:space="preserve">The Company still expects net sales to be up 2% to 6%, including a low-single-digit positive impact from foreign exchange. </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 xml:space="preserve">The Company still expects organic sales growth to be 1% to 4%. This includes the impact from our exit from the private label pet food business. </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On a GAAP basis, the Company now expects gross profit margin to be roughly flat (versus down previously) and still expects advertising to be up on both a dollar basis and as a percentage of net sales and double-digit earnings per share growth.</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On a non-GAAP (Base Business) basis, the Company now expects gross profit margin to be roughly flat (versus down previously) and still expects advertising to be up on both a dollar basis and as a percentage of net sales; it also now expects mid-single-digit earnings per share growth (versus low- to mid-single-digit growth previously).</w:t>
      </w:r>
    </w:p>
    <w:p>
      <w:pPr>
        <w:pStyle w:val="TextBody"/>
        <w:bidi w:val="0"/>
        <w:spacing w:before="0" w:after="283"/>
        <w:jc w:val="left"/>
        <w:rPr/>
      </w:pPr>
      <w:r>
        <w:rPr/>
      </w:r>
    </w:p>
    <w:p>
      <w:pPr>
        <w:pStyle w:val="TextBody"/>
        <w:bidi w:val="0"/>
        <w:spacing w:lineRule="auto" w:line="417" w:before="0" w:after="0"/>
        <w:jc w:val="left"/>
        <w:rPr>
          <w:rFonts w:ascii="Arial;sans-serif" w:hAnsi="Arial;sans-serif"/>
          <w:b/>
          <w:color w:val="000000"/>
          <w:sz w:val="24"/>
          <w:u w:val="single"/>
        </w:rPr>
      </w:pPr>
      <w:r>
        <w:rPr>
          <w:rFonts w:ascii="Arial;sans-serif" w:hAnsi="Arial;sans-serif"/>
          <w:b/>
          <w:color w:val="000000"/>
          <w:sz w:val="24"/>
          <w:u w:val="single"/>
        </w:rPr>
        <w:t>Divisional Performance</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See attached "Table 6 - Geographic Sales Analysis Percentage Changes" and "Table 5 - Segment Information" for additional information on net sales and operating profit by division.</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92"/>
        <w:gridCol w:w="762"/>
        <w:gridCol w:w="728"/>
        <w:gridCol w:w="689"/>
        <w:gridCol w:w="689"/>
        <w:gridCol w:w="654"/>
        <w:gridCol w:w="366"/>
        <w:gridCol w:w="324"/>
        <w:gridCol w:w="324"/>
        <w:gridCol w:w="369"/>
        <w:gridCol w:w="352"/>
        <w:gridCol w:w="324"/>
        <w:gridCol w:w="369"/>
        <w:gridCol w:w="369"/>
        <w:gridCol w:w="327"/>
        <w:gridCol w:w="440"/>
        <w:gridCol w:w="440"/>
        <w:gridCol w:w="441"/>
        <w:gridCol w:w="230"/>
        <w:gridCol w:w="230"/>
        <w:gridCol w:w="231"/>
        <w:gridCol w:w="191"/>
        <w:gridCol w:w="191"/>
        <w:gridCol w:w="273"/>
      </w:tblGrid>
      <w:tr>
        <w:trPr/>
        <w:tc>
          <w:tcPr>
            <w:tcW w:w="89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7538" w:type="dxa"/>
            <w:gridSpan w:val="15"/>
            <w:tcBorders>
              <w:top w:val="single" w:sz="8" w:space="0" w:color="000000"/>
              <w:left w:val="single" w:sz="8" w:space="0" w:color="000000"/>
            </w:tcBorders>
            <w:shd w:fill="C6D9F1" w:val="clear"/>
            <w:tcMar>
              <w:top w:w="52"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Second Quarter Sales Growth By Division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change 2Q 2026 vs. 2Q 2025 except % of Total Company Sales)</w:t>
            </w:r>
          </w:p>
        </w:tc>
        <w:tc>
          <w:tcPr>
            <w:tcW w:w="1321"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right w:val="single" w:sz="8" w:space="0" w:color="000000"/>
            </w:tcBorders>
            <w:shd w:fill="C6D9F1"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Company Sales</w:t>
            </w:r>
          </w:p>
        </w:tc>
        <w:tc>
          <w:tcPr>
            <w:tcW w:w="10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 xml:space="preserve">Sales </w:t>
            </w:r>
          </w:p>
        </w:tc>
        <w:tc>
          <w:tcPr>
            <w:tcW w:w="10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Organic </w:t>
              <w:br/>
              <w:t>Sales*</w:t>
            </w:r>
          </w:p>
        </w:tc>
        <w:tc>
          <w:tcPr>
            <w:tcW w:w="10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br/>
              <w:t>  Volume**</w:t>
            </w:r>
          </w:p>
        </w:tc>
        <w:tc>
          <w:tcPr>
            <w:tcW w:w="13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Organic Volume</w:t>
            </w:r>
          </w:p>
        </w:tc>
        <w:tc>
          <w:tcPr>
            <w:tcW w:w="6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w:t>
            </w:r>
          </w:p>
        </w:tc>
        <w:tc>
          <w:tcPr>
            <w:tcW w:w="65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FX</w:t>
            </w:r>
          </w:p>
        </w:tc>
      </w:tr>
      <w:tr>
        <w:trPr/>
        <w:tc>
          <w:tcPr>
            <w:tcW w:w="23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20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0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10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10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13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6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65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23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20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10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w:t>
            </w:r>
          </w:p>
        </w:tc>
        <w:tc>
          <w:tcPr>
            <w:tcW w:w="10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10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13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6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65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23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Europe, Middle East &amp; Africa</w:t>
            </w:r>
            <w:r>
              <w:rPr>
                <w:rFonts w:ascii="Times New Roman;serif" w:hAnsi="Times New Roman;serif"/>
                <w:b w:val="false"/>
                <w:color w:val="000000"/>
                <w:sz w:val="13"/>
              </w:rPr>
              <w:t>(1)</w:t>
            </w:r>
          </w:p>
        </w:tc>
        <w:tc>
          <w:tcPr>
            <w:tcW w:w="20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0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10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3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6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65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23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Asia Pacific</w:t>
            </w:r>
            <w:r>
              <w:rPr>
                <w:rFonts w:ascii="Times New Roman;serif" w:hAnsi="Times New Roman;serif"/>
                <w:b w:val="false"/>
                <w:color w:val="000000"/>
                <w:sz w:val="13"/>
              </w:rPr>
              <w:t>(1)</w:t>
            </w:r>
          </w:p>
        </w:tc>
        <w:tc>
          <w:tcPr>
            <w:tcW w:w="20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0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10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10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3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6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65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23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20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104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0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3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6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65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2382" w:type="dxa"/>
            <w:gridSpan w:val="3"/>
            <w:tcBorders>
              <w:top w:val="single" w:sz="8" w:space="0" w:color="000000"/>
              <w:left w:val="single" w:sz="8" w:space="0" w:color="000000"/>
            </w:tcBorders>
            <w:shd w:fill="BFBFBF" w:val="clear"/>
            <w:tcMar>
              <w:top w:w="52"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2" w:type="dxa"/>
            <w:gridSpan w:val="3"/>
            <w:tcBorders>
              <w:top w:val="single" w:sz="8" w:space="0" w:color="000000"/>
              <w:left w:val="single" w:sz="8"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left w:val="single" w:sz="8"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left w:val="single" w:sz="8"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left w:val="single" w:sz="8" w:space="0" w:color="000000"/>
              <w:right w:val="single" w:sz="8" w:space="0" w:color="000000"/>
            </w:tcBorders>
            <w:shd w:fill="BFBFBF" w:val="clear"/>
            <w:tcMar>
              <w:bottom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203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01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104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106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132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69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65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Table may not sum due to rounding.</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(1) The Company has recast its historical geographic segment information to conform to the reporting structure effective for the quarter ended March 31, 2026. Recast historical geographic segment information can be found on the Company's website.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*Indicates a non-GAAP financial measure. Please refer to “Non-GAAP Financial Measures” later in this release for definitions of non-GAAP financial measures and to “Table 6 - Geographic Sales Analysis Percentage Changes” included with this release for a reconciliation of these non-GAAP financial measures to the related GAAP measures.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impact of the acquisition of the Prime100 pet food business on as reported volume was 0.6% and 0.1% for Hill's Pet Nutrition and Total Company, respectively.</w:t>
      </w:r>
    </w:p>
    <w:p>
      <w:pPr>
        <w:pStyle w:val="TextBody"/>
        <w:bidi w:val="0"/>
        <w:spacing w:before="160" w:after="160"/>
        <w:jc w:val="left"/>
        <w:rPr/>
      </w:pPr>
      <w:r>
        <w:rPr/>
      </w:r>
    </w:p>
    <w:tbl>
      <w:tblPr>
        <w:tblW w:w="9930" w:type="dxa"/>
        <w:jc w:val="center"/>
        <w:tblInd w:w="0" w:type="dxa"/>
        <w:tblLayout w:type="fixed"/>
        <w:tblCellMar>
          <w:top w:w="28" w:type="dxa"/>
          <w:left w:w="28" w:type="dxa"/>
          <w:bottom w:w="28" w:type="dxa"/>
          <w:right w:w="28" w:type="dxa"/>
        </w:tblCellMar>
      </w:tblPr>
      <w:tblGrid>
        <w:gridCol w:w="1010"/>
        <w:gridCol w:w="890"/>
        <w:gridCol w:w="890"/>
        <w:gridCol w:w="325"/>
        <w:gridCol w:w="325"/>
        <w:gridCol w:w="325"/>
        <w:gridCol w:w="640"/>
        <w:gridCol w:w="640"/>
        <w:gridCol w:w="640"/>
        <w:gridCol w:w="425"/>
        <w:gridCol w:w="425"/>
        <w:gridCol w:w="425"/>
        <w:gridCol w:w="867"/>
        <w:gridCol w:w="867"/>
        <w:gridCol w:w="1236"/>
      </w:tblGrid>
      <w:tr>
        <w:trPr/>
        <w:tc>
          <w:tcPr>
            <w:tcW w:w="10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6960" w:type="dxa"/>
            <w:gridSpan w:val="12"/>
            <w:tcBorders>
              <w:top w:val="single" w:sz="8" w:space="0" w:color="000000"/>
              <w:left w:val="single" w:sz="8" w:space="0" w:color="000000"/>
            </w:tcBorders>
            <w:shd w:fill="C6D9F1" w:val="clear"/>
            <w:tcMar>
              <w:top w:w="52"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Second Quarter Operating Profit By Division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2970" w:type="dxa"/>
            <w:gridSpan w:val="3"/>
            <w:tcBorders>
              <w:top w:val="single" w:sz="8" w:space="0" w:color="000000"/>
              <w:right w:val="single" w:sz="8" w:space="0" w:color="000000"/>
            </w:tcBorders>
            <w:shd w:fill="C6D9F1"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2Q 2026</w:t>
            </w:r>
          </w:p>
        </w:tc>
        <w:tc>
          <w:tcPr>
            <w:tcW w:w="19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 vs 2Q 2025</w:t>
            </w:r>
          </w:p>
        </w:tc>
        <w:tc>
          <w:tcPr>
            <w:tcW w:w="12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to Net Sales</w:t>
            </w:r>
          </w:p>
        </w:tc>
        <w:tc>
          <w:tcPr>
            <w:tcW w:w="297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Change in basis points vs 2Q 2025</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to Net Sales</w:t>
            </w:r>
          </w:p>
        </w:tc>
      </w:tr>
      <w:tr>
        <w:trPr/>
        <w:tc>
          <w:tcPr>
            <w:tcW w:w="27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9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$192</w:t>
            </w:r>
          </w:p>
        </w:tc>
        <w:tc>
          <w:tcPr>
            <w:tcW w:w="19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21.6%</w:t>
            </w:r>
          </w:p>
        </w:tc>
        <w:tc>
          <w:tcPr>
            <w:tcW w:w="297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27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$418</w:t>
            </w:r>
          </w:p>
        </w:tc>
        <w:tc>
          <w:tcPr>
            <w:tcW w:w="19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2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30.4%</w:t>
            </w:r>
          </w:p>
        </w:tc>
        <w:tc>
          <w:tcPr>
            <w:tcW w:w="297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7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Europe, Middle East &amp; Africa</w:t>
            </w:r>
            <w:r>
              <w:rPr>
                <w:rFonts w:ascii="Times New Roman;serif" w:hAnsi="Times New Roman;serif"/>
                <w:b w:val="false"/>
                <w:color w:val="000000"/>
                <w:sz w:val="13"/>
              </w:rPr>
              <w:t>(1)</w:t>
            </w:r>
          </w:p>
        </w:tc>
        <w:tc>
          <w:tcPr>
            <w:tcW w:w="9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$263</w:t>
            </w:r>
          </w:p>
        </w:tc>
        <w:tc>
          <w:tcPr>
            <w:tcW w:w="19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2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23.4%</w:t>
            </w:r>
          </w:p>
        </w:tc>
        <w:tc>
          <w:tcPr>
            <w:tcW w:w="297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27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Asia Pacific</w:t>
            </w:r>
            <w:r>
              <w:rPr>
                <w:rFonts w:ascii="Times New Roman;serif" w:hAnsi="Times New Roman;serif"/>
                <w:b w:val="false"/>
                <w:color w:val="000000"/>
                <w:sz w:val="13"/>
              </w:rPr>
              <w:t>(1)</w:t>
            </w:r>
          </w:p>
        </w:tc>
        <w:tc>
          <w:tcPr>
            <w:tcW w:w="9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19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26.7%</w:t>
            </w:r>
          </w:p>
        </w:tc>
        <w:tc>
          <w:tcPr>
            <w:tcW w:w="297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7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9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w:t>
            </w:r>
          </w:p>
        </w:tc>
        <w:tc>
          <w:tcPr>
            <w:tcW w:w="19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2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297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790" w:type="dxa"/>
            <w:gridSpan w:val="3"/>
            <w:tcBorders>
              <w:top w:val="single" w:sz="8" w:space="0" w:color="000000"/>
              <w:left w:val="single" w:sz="8" w:space="0" w:color="000000"/>
            </w:tcBorders>
            <w:shd w:fill="BFBFBF" w:val="clear"/>
            <w:tcMar>
              <w:top w:w="52"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op w:val="single" w:sz="8" w:space="0" w:color="000000"/>
              <w:left w:val="single" w:sz="8" w:space="0" w:color="000000"/>
            </w:tcBorders>
            <w:shd w:fill="BFBFBF" w:val="clear"/>
            <w:tcMar>
              <w:top w:w="52"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top w:val="single" w:sz="8" w:space="0" w:color="000000"/>
              <w:left w:val="single" w:sz="8" w:space="0" w:color="000000"/>
            </w:tcBorders>
            <w:shd w:fill="BFBFBF" w:val="clear"/>
            <w:tcMar>
              <w:top w:w="52"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op w:val="single" w:sz="8" w:space="0" w:color="000000"/>
              <w:left w:val="single" w:sz="8" w:space="0" w:color="000000"/>
            </w:tcBorders>
            <w:shd w:fill="BFBFBF" w:val="clear"/>
            <w:tcMar>
              <w:top w:w="52"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0" w:type="dxa"/>
            <w:gridSpan w:val="3"/>
            <w:tcBorders>
              <w:top w:val="single" w:sz="8" w:space="0" w:color="000000"/>
              <w:left w:val="single" w:sz="8" w:space="0" w:color="000000"/>
              <w:right w:val="single" w:sz="8" w:space="0" w:color="000000"/>
            </w:tcBorders>
            <w:shd w:fill="BFBFBF" w:val="clear"/>
            <w:tcMar>
              <w:top w:w="52"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7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 As Reported</w:t>
            </w:r>
          </w:p>
        </w:tc>
        <w:tc>
          <w:tcPr>
            <w:tcW w:w="9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19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27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w:t>
            </w:r>
          </w:p>
        </w:tc>
        <w:tc>
          <w:tcPr>
            <w:tcW w:w="297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r>
      <w:tr>
        <w:trPr/>
        <w:tc>
          <w:tcPr>
            <w:tcW w:w="279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Company, Base Business* </w:t>
            </w:r>
          </w:p>
        </w:tc>
        <w:tc>
          <w:tcPr>
            <w:tcW w:w="97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$1,145</w:t>
            </w:r>
          </w:p>
        </w:tc>
        <w:tc>
          <w:tcPr>
            <w:tcW w:w="192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27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w:t>
            </w:r>
          </w:p>
        </w:tc>
        <w:tc>
          <w:tcPr>
            <w:tcW w:w="297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bl>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(1) The Company has recast its historical geographic segment information to conform to the reporting structure effective for the quarter ended March 31, 2026.</w:t>
      </w:r>
    </w:p>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*Indicates a non-GAAP financial measure. Please refer to “Non-GAAP Financial Measures” later in this release for definitions of non-GAAP financial measures and to “Table 8 - Non-GAAP Reconciliations” included with this release for a reconciliation of these non-GAAP financial measures to the related GAAP measures.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417" w:before="0" w:after="0"/>
        <w:jc w:val="left"/>
        <w:rPr>
          <w:rFonts w:ascii="Arial;sans-serif" w:hAnsi="Arial;sans-serif"/>
          <w:b/>
          <w:color w:val="000000"/>
          <w:sz w:val="24"/>
          <w:u w:val="single"/>
        </w:rPr>
      </w:pPr>
      <w:r>
        <w:rPr>
          <w:rFonts w:ascii="Arial;sans-serif" w:hAnsi="Arial;sans-serif"/>
          <w:b/>
          <w:color w:val="000000"/>
          <w:sz w:val="24"/>
          <w:u w:val="single"/>
        </w:rPr>
        <w:t>Prepared Materials and Webcast Information</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At approximately 7:00 a.m. ET today, the Company will post its prepared materials regarding second quarter results to the Investor Center section of its website at https://investor.colgatepalmolive.com/events-and-presentations.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At 8:30 a.m. ET today, the Company will host a conference call regarding second quarter results. To access this call as a webcast, please go to Colgate-Palmolive’s website at www.colgatepalmolive.com.</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u w:val="single"/>
        </w:rPr>
      </w:pPr>
      <w:r>
        <w:rPr>
          <w:rFonts w:ascii="Arial;sans-serif" w:hAnsi="Arial;sans-serif"/>
          <w:b/>
          <w:color w:val="000000"/>
          <w:sz w:val="24"/>
          <w:u w:val="single"/>
        </w:rPr>
        <w:t>About Colgate-Palmolive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Colgate-Palmolive Company is a caring, innovative growth company that is reimagining a healthier future for all people, their pets and our planet. Focused on Oral Care, Personal Care, Home Care and Pet Nutrition, we sell our products in more than 200 countries and territories under brands such as Colgate, Palmolive, Ajax, Axion, Darlie, elmex, EltaMD, Fabuloso, Filorga, hello, Hill’s Prescription Diet, Hill’s Science Diet, Irish Spring, Lady Speed Stick, meridol, PCA SKIN, Prime100, Protex, Sanex, Softsoap, Sorriso, Soupline, Speed Stick, Suavitel and Tom’s of Maine. We are recognized for our leadership and innovation in promoting sustainability and community wellbeing, including our achievements in decreasing plastic waste and promoting recyclability, saving water and improving children’s oral health through our Colgate Bright Smiles, Bright Futures program, which has reached approximately two billion children and their families since 1991. For more information about Colgate-Palmolive and how we make more smiles, visit www.colgatepalmolive.com. CL-E</w: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u w:val="single"/>
        </w:rPr>
      </w:pPr>
      <w:r>
        <w:rPr>
          <w:rFonts w:ascii="Arial;sans-serif" w:hAnsi="Arial;sans-serif"/>
          <w:b/>
          <w:color w:val="000000"/>
          <w:sz w:val="24"/>
          <w:u w:val="single"/>
        </w:rPr>
        <w:t>Market Share Information</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Management uses market share information as a key indicator to monitor business health and performance. References to market share in this press release are based on a combination of consumption and market share data provided by third-party vendors, primarily Nielsen, and internal estimates. Except as otherwise noted, all market share references represent the percentage of the dollar value of sales of our products, relative to all product sales in the category in the countries in which the Company competes and purchases data (excluding Venezuela from all periods).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Market share data is subject to limitations on the availability of up-to-date information. In particular, market share data is currently not generally available for certain retail channels, such as eCommerce and certain club retailers and discounters. The Company measures year-to-date market shares from January 1 of the relevant year through the most recent period for which market share data is available, which typically reflects a lag time of one or two months. The Company believes that the third-party vendors it uses to provide data are reliable, but it has not verified the accuracy or completeness of the data or any assumptions underlying the data. In addition, market share information reported by the Company may be different from market share information reported by other companies due to differences in category definitions, the use of data from different countries, internal estimates and other factors.</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Cautionary Statement on Forward-Looking Statements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24"/>
        </w:rPr>
        <w:t>This press release and the related prepared materials and webcast may contain forward-looking statements (as that term is defined in the U.S. Private Securities Litigation Reform Act of 1995 or by the Securities and Exchange Commission (SEC) in its rules, regulations and releases) that set forth anticipated results based on management</w:t>
      </w:r>
      <w:r>
        <w:rPr>
          <w:color w:val="000000"/>
        </w:rPr>
        <w:t>’</w:t>
      </w:r>
      <w:r>
        <w:rPr>
          <w:rFonts w:ascii="Arial;sans-serif" w:hAnsi="Arial;sans-serif"/>
          <w:b w:val="false"/>
          <w:color w:val="000000"/>
          <w:sz w:val="24"/>
        </w:rPr>
        <w:t>s current plans and assumptions. Such statements may relate, for example, to sales or volume growth, net selling price increases, organic sales growth, profit or profit margin levels, earnings per share levels, financial goals, category growth rates, the impact of foreign exchange, the impact of developments in global trade relations and tariffs, the impact of geopolitical events and tensions, wars and military conflicts, such as in Ukraine and the Middle East, cost reduction plans (including the Strategic Growth and Productivity Program), tax rates, interest rates, new product introductions, digital capabilities, commercial investment levels, acquisitions, divestitures, share repurchases or legal or tax proceedings, among other matters. These statements are made on the basis of the Company</w:t>
      </w:r>
      <w:r>
        <w:rPr>
          <w:color w:val="000000"/>
        </w:rPr>
        <w:t>’</w:t>
      </w:r>
      <w:r>
        <w:rPr>
          <w:rFonts w:ascii="Arial;sans-serif" w:hAnsi="Arial;sans-serif"/>
          <w:b w:val="false"/>
          <w:color w:val="000000"/>
          <w:sz w:val="24"/>
        </w:rPr>
        <w:t>s views and assumptions as of July 31, 2026. The Company undertakes no obligation to update these statements whether as a result of new information, future events or otherwise, except as required by law or by the rules and regulations of the SEC. Moreover, the Company does not, nor does any other person, assume responsibility for the accuracy and completeness of these statements. The Company cautions investors that any such forward-looking statements are not guarantees of future performance and that actual events or results may differ materially from those statements. For more information about factors that could impact the Company</w:t>
      </w:r>
      <w:r>
        <w:rPr>
          <w:color w:val="000000"/>
        </w:rPr>
        <w:t>’</w:t>
      </w:r>
      <w:r>
        <w:rPr>
          <w:rFonts w:ascii="Arial;sans-serif" w:hAnsi="Arial;sans-serif"/>
          <w:b w:val="false"/>
          <w:color w:val="000000"/>
          <w:sz w:val="24"/>
        </w:rPr>
        <w:t>s business and cause actual results to differ materially from forward-looking statements, investors should refer to the Company</w:t>
      </w:r>
      <w:r>
        <w:rPr>
          <w:color w:val="000000"/>
        </w:rPr>
        <w:t>’</w:t>
      </w:r>
      <w:r>
        <w:rPr>
          <w:rFonts w:ascii="Arial;sans-serif" w:hAnsi="Arial;sans-serif"/>
          <w:b w:val="false"/>
          <w:color w:val="000000"/>
          <w:sz w:val="24"/>
        </w:rPr>
        <w:t>s filings with the SEC (including, but not limited to, the information set forth under the captions “Risk Factors” and “Cautionary Statement on Forward-Looking Statements” in the Company’s Annual Report on Form 10-K for the year ended December 31, 2025 and subsequent filings with the SEC). Copies of these filings may be obtained upon request from the Company</w:t>
      </w:r>
      <w:r>
        <w:rPr>
          <w:color w:val="000000"/>
        </w:rPr>
        <w:t>’</w:t>
      </w:r>
      <w:r>
        <w:rPr>
          <w:rFonts w:ascii="Arial;sans-serif" w:hAnsi="Arial;sans-serif"/>
          <w:b w:val="false"/>
          <w:color w:val="000000"/>
          <w:sz w:val="24"/>
        </w:rPr>
        <w:t>s Investor Relations Department or on the Company</w:t>
      </w:r>
      <w:r>
        <w:rPr>
          <w:color w:val="000000"/>
        </w:rPr>
        <w:t>’</w:t>
      </w:r>
      <w:r>
        <w:rPr>
          <w:rFonts w:ascii="Arial;sans-serif" w:hAnsi="Arial;sans-serif"/>
          <w:b w:val="false"/>
          <w:color w:val="000000"/>
          <w:sz w:val="24"/>
        </w:rPr>
        <w:t>s website at www.colgatepalmolive.com.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Non-GAAP Financial Measures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following provides definitions and other information regarding the non-GAAP financial measures used in this press release and the related prepared materials and webcast, which may not be the same as or comparable to similar measures presented by other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Base Business: Base Business refers to non-GAAP measures of operating results that exclude certain items. Base Business operating results exclude, as applicable, charges related to the Strategic Growth and Productivity Program and the ERISA litigation matter and acquisition-related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Organic sales growth: Net sales growth excluding the impact of foreign exchange, acquisitions and divestments.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Free cash flow before dividends: Net cash provided by operations less Capital expenditures.</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4"/>
        </w:rPr>
        <w:t>This press release and the related prepared materials and webcast discuss Net sales growth (GAAP) and Organic sales growth (non-GAAP). Management believes the organic sales growth measure provides investors and analysts with useful supplemental information regarding the Company</w:t>
      </w:r>
      <w:r>
        <w:rPr>
          <w:color w:val="000000"/>
        </w:rPr>
        <w:t>’</w:t>
      </w:r>
      <w:r>
        <w:rPr>
          <w:rFonts w:ascii="Arial;sans-serif" w:hAnsi="Arial;sans-serif"/>
          <w:b w:val="false"/>
          <w:color w:val="000000"/>
          <w:sz w:val="24"/>
        </w:rPr>
        <w:t>s underlying sales trends by presenting sales growth excluding the external factor of foreign exchange as well as the impact from acquisitions and divestments. See “Geographic Sales Analysis Percentage Changes” for the three and six months ended June 30, 2026 versus 2025 included with this release for a comparison of Organic sales growth to Net sales growth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24"/>
        </w:rPr>
        <w:t xml:space="preserve">Gross profit, Selling, general and administrative expenses, Selling, general and administrative expenses as a percentage of Net sales, Other (income) expense, net, Operating profit, Operating profit margin, Non-service related postretirement costs, Effective income tax rate, Net income attributable to Colgate-Palmolive Company and Diluted earnings per common share are disclosed on both an as reported (GAAP) and Base Business (non-GAAP) basis. These non-GAAP financial measures exclude items that, either by their nature or amount, management would not expect to occur as part of the Company’s normal business on a regular basis, such as restructuring charges, charges for certain litigation and tax matters, acquisition-related costs, gains and losses from certain divestitures and certain other unusual, non-recurring items. Investors and analysts use these financial measures in assessing the Company’s business performance, and management believes that presenting these financial measures on a non-GAAP basis provides them with useful supplemental information to enhance their understanding of the Company’s underlying business performance and trends. These non-GAAP financial measures also enhance the ability to compare period-to-period financial results. See </w:t>
      </w:r>
      <w:r>
        <w:rPr>
          <w:color w:val="000000"/>
        </w:rPr>
        <w:t>“</w:t>
      </w:r>
      <w:r>
        <w:rPr>
          <w:rFonts w:ascii="Arial;sans-serif" w:hAnsi="Arial;sans-serif"/>
          <w:b w:val="false"/>
          <w:color w:val="000000"/>
          <w:sz w:val="24"/>
        </w:rPr>
        <w:t>Non-GAAP Reconciliations” for the three and six months ended June 30, 2026 and 2025 included with this release for a reconciliation of these financial measures to the related GAAP measures.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The Company uses these financial measures internally in its budgeting process, to evaluate segment and overall operating performance and as factors in determining compensation. While the Company believes that these financial measures are useful in evaluating the Company</w:t>
      </w:r>
      <w:r>
        <w:rPr>
          <w:color w:val="000000"/>
        </w:rPr>
        <w:t>’</w:t>
      </w:r>
      <w:r>
        <w:rPr>
          <w:rFonts w:ascii="Arial;sans-serif" w:hAnsi="Arial;sans-serif"/>
          <w:b w:val="false"/>
          <w:color w:val="000000"/>
          <w:sz w:val="24"/>
        </w:rPr>
        <w:t>s underlying business performance and trends, this information should be considered as supplemental in nature and is not meant to be considered in isolation or as a substitute for the related financial information prepared in accordance with GAAP.</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As management uses free cash flow before dividends to evaluate the Company</w:t>
      </w:r>
      <w:r>
        <w:rPr>
          <w:color w:val="000000"/>
        </w:rPr>
        <w:t>’</w:t>
      </w:r>
      <w:r>
        <w:rPr>
          <w:rFonts w:ascii="Arial;sans-serif" w:hAnsi="Arial;sans-serif"/>
          <w:b w:val="false"/>
          <w:color w:val="000000"/>
          <w:sz w:val="24"/>
        </w:rPr>
        <w:t xml:space="preserve">s ability to satisfy current and future obligations, pay dividends, fund future business opportunities and repurchase stock, the Company believes that it provides useful information to investors. Free cash flow before dividends is not a measure of cash available for discretionary expenditures since the Company has certain non-discretionary obligations such as debt service that are not deducted from the measure. See </w:t>
      </w:r>
      <w:r>
        <w:rPr>
          <w:color w:val="000000"/>
        </w:rPr>
        <w:t>“</w:t>
      </w:r>
      <w:r>
        <w:rPr>
          <w:rFonts w:ascii="Arial;sans-serif" w:hAnsi="Arial;sans-serif"/>
          <w:b w:val="false"/>
          <w:color w:val="000000"/>
          <w:sz w:val="24"/>
        </w:rPr>
        <w:t>Condensed Consolidated Statements of Cash Flows</w:t>
      </w:r>
      <w:r>
        <w:rPr>
          <w:color w:val="000000"/>
        </w:rPr>
        <w:t xml:space="preserve">” </w:t>
      </w:r>
      <w:r>
        <w:rPr>
          <w:rFonts w:ascii="Arial;sans-serif" w:hAnsi="Arial;sans-serif"/>
          <w:b w:val="false"/>
          <w:color w:val="000000"/>
          <w:sz w:val="24"/>
        </w:rPr>
        <w:t>for the six months ended June 30, 2026 and 2025 for a comparison of free cash flow before dividends to Net cash provided by operations as reported in accordance with GAAP.</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(See attached tables for second quarter results.)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Contacts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Investor Relations: investor_relations@colpal.com</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Communications: colgate_palmolive_media_inquiry@colpal.com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tbl>
      <w:tblPr>
        <w:tblW w:w="8097" w:type="dxa"/>
        <w:jc w:val="left"/>
        <w:tblInd w:w="0" w:type="dxa"/>
        <w:tblLayout w:type="fixed"/>
        <w:tblCellMar>
          <w:top w:w="28" w:type="dxa"/>
          <w:left w:w="28" w:type="dxa"/>
          <w:bottom w:w="28" w:type="dxa"/>
          <w:right w:w="28" w:type="dxa"/>
        </w:tblCellMar>
      </w:tblPr>
      <w:tblGrid>
        <w:gridCol w:w="1453"/>
        <w:gridCol w:w="1268"/>
        <w:gridCol w:w="1268"/>
        <w:gridCol w:w="162"/>
        <w:gridCol w:w="162"/>
        <w:gridCol w:w="162"/>
        <w:gridCol w:w="294"/>
        <w:gridCol w:w="836"/>
        <w:gridCol w:w="361"/>
        <w:gridCol w:w="162"/>
        <w:gridCol w:w="162"/>
        <w:gridCol w:w="162"/>
        <w:gridCol w:w="294"/>
        <w:gridCol w:w="836"/>
        <w:gridCol w:w="361"/>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1</w:t>
            </w:r>
          </w:p>
        </w:tc>
        <w:tc>
          <w:tcPr>
            <w:tcW w:w="154" w:type="dxa"/>
            <w:tcBorders/>
          </w:tcPr>
          <w:p>
            <w:pPr>
              <w:pStyle w:val="TableContents"/>
              <w:bidi w:val="0"/>
              <w:spacing w:before="0" w:after="283"/>
              <w:jc w:val="left"/>
              <w:rPr>
                <w:sz w:val="4"/>
                <w:szCs w:val="4"/>
              </w:rPr>
            </w:pPr>
            <w:r>
              <w:rPr>
                <w:sz w:val="4"/>
                <w:szCs w:val="4"/>
              </w:rPr>
            </w:r>
          </w:p>
        </w:tc>
      </w:tr>
      <w:tr>
        <w:trPr/>
        <w:tc>
          <w:tcPr>
            <w:tcW w:w="79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c>
          <w:tcPr>
            <w:tcW w:w="154" w:type="dxa"/>
            <w:tcBorders/>
          </w:tcPr>
          <w:p>
            <w:pPr>
              <w:pStyle w:val="TableContents"/>
              <w:bidi w:val="0"/>
              <w:spacing w:before="0" w:after="283"/>
              <w:jc w:val="left"/>
              <w:rPr>
                <w:sz w:val="4"/>
                <w:szCs w:val="4"/>
              </w:rPr>
            </w:pPr>
            <w:r>
              <w:rPr>
                <w:sz w:val="4"/>
                <w:szCs w:val="4"/>
              </w:rPr>
            </w:r>
          </w:p>
        </w:tc>
      </w:tr>
      <w:tr>
        <w:trPr/>
        <w:tc>
          <w:tcPr>
            <w:tcW w:w="794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Income</w:t>
            </w:r>
          </w:p>
        </w:tc>
        <w:tc>
          <w:tcPr>
            <w:tcW w:w="154" w:type="dxa"/>
            <w:tcBorders/>
          </w:tcPr>
          <w:p>
            <w:pPr>
              <w:pStyle w:val="TableContents"/>
              <w:bidi w:val="0"/>
              <w:spacing w:before="0" w:after="283"/>
              <w:jc w:val="left"/>
              <w:rPr>
                <w:sz w:val="4"/>
                <w:szCs w:val="4"/>
              </w:rPr>
            </w:pPr>
            <w:r>
              <w:rPr>
                <w:sz w:val="4"/>
                <w:szCs w:val="4"/>
              </w:rPr>
            </w:r>
          </w:p>
        </w:tc>
      </w:tr>
      <w:tr>
        <w:trPr/>
        <w:tc>
          <w:tcPr>
            <w:tcW w:w="794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 and 2025</w:t>
            </w:r>
          </w:p>
        </w:tc>
        <w:tc>
          <w:tcPr>
            <w:tcW w:w="154" w:type="dxa"/>
            <w:tcBorders/>
          </w:tcPr>
          <w:p>
            <w:pPr>
              <w:pStyle w:val="TableContents"/>
              <w:bidi w:val="0"/>
              <w:spacing w:before="0" w:after="283"/>
              <w:jc w:val="left"/>
              <w:rPr>
                <w:sz w:val="4"/>
                <w:szCs w:val="4"/>
              </w:rPr>
            </w:pPr>
            <w:r>
              <w:rPr>
                <w:sz w:val="4"/>
                <w:szCs w:val="4"/>
              </w:rPr>
            </w:r>
          </w:p>
        </w:tc>
      </w:tr>
      <w:tr>
        <w:trPr/>
        <w:tc>
          <w:tcPr>
            <w:tcW w:w="794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Amounts) (Unaudited)</w:t>
            </w:r>
          </w:p>
        </w:tc>
        <w:tc>
          <w:tcPr>
            <w:tcW w:w="154" w:type="dxa"/>
            <w:tcBorders/>
          </w:tcPr>
          <w:p>
            <w:pPr>
              <w:pStyle w:val="TableContents"/>
              <w:bidi w:val="0"/>
              <w:spacing w:before="0" w:after="283"/>
              <w:jc w:val="left"/>
              <w:rPr>
                <w:sz w:val="4"/>
                <w:szCs w:val="4"/>
              </w:rPr>
            </w:pPr>
            <w:r>
              <w:rPr>
                <w:sz w:val="4"/>
                <w:szCs w:val="4"/>
              </w:rPr>
            </w:r>
          </w:p>
        </w:tc>
      </w:tr>
      <w:tr>
        <w:trPr/>
        <w:tc>
          <w:tcPr>
            <w:tcW w:w="794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3,069 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margin</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margin</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Non-service related postretirement costs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 income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tax rate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including noncontrolling interests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noncontrolling interests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Colgate-Palmolive Company</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common share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Income Statement Information</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common shares outstanding</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Advertising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43" w:type="dxa"/>
            <w:gridSpan w:val="15"/>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43"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3"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3"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79"/>
        <w:gridCol w:w="1449"/>
        <w:gridCol w:w="1226"/>
        <w:gridCol w:w="211"/>
        <w:gridCol w:w="211"/>
        <w:gridCol w:w="211"/>
        <w:gridCol w:w="381"/>
        <w:gridCol w:w="1261"/>
        <w:gridCol w:w="469"/>
        <w:gridCol w:w="211"/>
        <w:gridCol w:w="211"/>
        <w:gridCol w:w="211"/>
        <w:gridCol w:w="381"/>
        <w:gridCol w:w="1261"/>
        <w:gridCol w:w="469"/>
        <w:gridCol w:w="163"/>
      </w:tblGrid>
      <w:tr>
        <w:trPr/>
        <w:tc>
          <w:tcPr>
            <w:tcW w:w="187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2</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Income</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 and 2025</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Amounts) (Unaudited)</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10,686 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10,021 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4,164 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3,965 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6,522 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6,056 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margin</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3,861 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margin</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Non-service related postretirement costs</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tax rate</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including noncontrolling interests</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noncontrolling interests</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Colgate-Palmolive Company</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common share</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Basic</w:t>
            </w:r>
            <w:r>
              <w:rPr>
                <w:rFonts w:ascii="Times New Roman;serif" w:hAnsi="Times New Roman;serif"/>
                <w:b w:val="false"/>
                <w:color w:val="000000"/>
                <w:sz w:val="10"/>
              </w:rPr>
              <w:t>(1)</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Diluted</w:t>
            </w:r>
            <w:r>
              <w:rPr>
                <w:rFonts w:ascii="Times New Roman;serif" w:hAnsi="Times New Roman;serif"/>
                <w:b w:val="false"/>
                <w:color w:val="000000"/>
                <w:sz w:val="10"/>
              </w:rPr>
              <w:t>(1)</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Income Statement Information</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common shares outstanding</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800.8 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811.2 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803.4 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814.2 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Advertising</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5"/>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Note:</w:t>
              <w:br/>
              <w:t>(1) Basic and diluted earnings per share are computed independently for each quarter and any year-to-date period presented. As a result of changes in shares outstanding during the year and rounding, the sum of the quarters' earnings per share may not equal the earnings per share for any year-to-date period.</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5"/>
            <w:vMerge w:val="continue"/>
            <w:tcBorders/>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vMerge w:val="continue"/>
            <w:tcBorders/>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vMerge w:val="continue"/>
            <w:tcBorders/>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tbl>
      <w:tblPr>
        <w:tblW w:w="8475" w:type="dxa"/>
        <w:jc w:val="left"/>
        <w:tblInd w:w="0" w:type="dxa"/>
        <w:tblLayout w:type="fixed"/>
        <w:tblCellMar>
          <w:top w:w="28" w:type="dxa"/>
          <w:left w:w="28" w:type="dxa"/>
          <w:bottom w:w="28" w:type="dxa"/>
          <w:right w:w="28" w:type="dxa"/>
        </w:tblCellMar>
      </w:tblPr>
      <w:tblGrid>
        <w:gridCol w:w="1520"/>
        <w:gridCol w:w="1338"/>
        <w:gridCol w:w="1342"/>
        <w:gridCol w:w="109"/>
        <w:gridCol w:w="109"/>
        <w:gridCol w:w="109"/>
        <w:gridCol w:w="196"/>
        <w:gridCol w:w="646"/>
        <w:gridCol w:w="241"/>
        <w:gridCol w:w="109"/>
        <w:gridCol w:w="109"/>
        <w:gridCol w:w="109"/>
        <w:gridCol w:w="196"/>
        <w:gridCol w:w="646"/>
        <w:gridCol w:w="241"/>
        <w:gridCol w:w="109"/>
        <w:gridCol w:w="109"/>
        <w:gridCol w:w="109"/>
        <w:gridCol w:w="196"/>
        <w:gridCol w:w="646"/>
        <w:gridCol w:w="286"/>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3</w:t>
            </w:r>
          </w:p>
        </w:tc>
      </w:tr>
      <w:tr>
        <w:trPr/>
        <w:tc>
          <w:tcPr>
            <w:tcW w:w="8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r>
      <w:tr>
        <w:trPr/>
        <w:tc>
          <w:tcPr>
            <w:tcW w:w="847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Balance Sheets</w:t>
            </w:r>
          </w:p>
        </w:tc>
      </w:tr>
      <w:tr>
        <w:trPr/>
        <w:tc>
          <w:tcPr>
            <w:tcW w:w="847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 December 31, 2025 and June 30, 2025</w:t>
            </w:r>
          </w:p>
        </w:tc>
      </w:tr>
      <w:tr>
        <w:trPr/>
        <w:tc>
          <w:tcPr>
            <w:tcW w:w="847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(Unaudited)</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16,330 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Colgate-Palmolive Company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16,330 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Balance Sheet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Debt less cash, cash equivalents and marketable securities</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Working capital %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w:t>
      </w:r>
    </w:p>
    <w:p>
      <w:pPr>
        <w:pStyle w:val="TextBody"/>
        <w:bidi w:val="0"/>
        <w:spacing w:lineRule="auto" w:line="288" w:before="0" w:after="0"/>
        <w:jc w:val="left"/>
        <w:rPr/>
      </w:pPr>
      <w:r>
        <w:rPr>
          <w:rFonts w:ascii="Times New Roman;serif" w:hAnsi="Times New Roman;serif"/>
          <w:b w:val="false"/>
          <w:color w:val="000000"/>
          <w:sz w:val="16"/>
        </w:rPr>
        <w:t>(1) Marketable securities of $83</w:t>
      </w:r>
      <w:r>
        <w:rPr>
          <w:rFonts w:ascii="Times New Roman;serif" w:hAnsi="Times New Roman;serif"/>
          <w:b w:val="false"/>
          <w:color w:val="000000"/>
          <w:sz w:val="20"/>
        </w:rPr>
        <w:t xml:space="preserve">, </w:t>
      </w:r>
      <w:r>
        <w:rPr>
          <w:rFonts w:ascii="Times New Roman;serif" w:hAnsi="Times New Roman;serif"/>
          <w:b w:val="false"/>
          <w:color w:val="000000"/>
          <w:sz w:val="16"/>
        </w:rPr>
        <w:t>$107 and $197 as of June 30, 2026, December 31, 2025 and June 30, 2025, respectively, are included in Other current assets.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60"/>
        <w:gridCol w:w="2181"/>
        <w:gridCol w:w="2195"/>
        <w:gridCol w:w="146"/>
        <w:gridCol w:w="146"/>
        <w:gridCol w:w="146"/>
        <w:gridCol w:w="264"/>
        <w:gridCol w:w="751"/>
        <w:gridCol w:w="146"/>
        <w:gridCol w:w="146"/>
        <w:gridCol w:w="146"/>
        <w:gridCol w:w="146"/>
        <w:gridCol w:w="264"/>
        <w:gridCol w:w="751"/>
        <w:gridCol w:w="217"/>
      </w:tblGrid>
      <w:tr>
        <w:trPr/>
        <w:tc>
          <w:tcPr>
            <w:tcW w:w="2560"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4</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 and 2025</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(Unaudited)</w:t>
            </w:r>
          </w:p>
        </w:tc>
      </w:tr>
      <w:tr>
        <w:trPr/>
        <w:tc>
          <w:tcPr>
            <w:tcW w:w="6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including noncontrolling interests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including noncontrolling interests to net cash provided by operations: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termination benefits, net of cash</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Deferred income taxes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Cash effects of changes in:</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Receivables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Inventories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Accounts payable and other working capital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Net cash provided by (used in) operations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1,484 </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Capital expenditures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Purchases of marketable securities and investments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Proceeds from sale of marketable securities and investments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acquisition, net of cash acquired</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investing activities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Net cash provided by (used in) investing activities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Short-term borrowing (repayment) less than 90 days, net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Principal payments on debt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Proceeds from issuance of debt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Dividends paid</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Purchases of treasury shares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Proceeds from exercise of stock options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financing activities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Net cash provided by (used in) financing activities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the period</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the period</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Free cash flow before dividends (Net cash provided by operations less Capital expenditures)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Net cash provided by operations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Less: Capital expenditures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Free cash flow before dividends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1,252 </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tbl>
      <w:tblPr>
        <w:tblW w:w="7755" w:type="dxa"/>
        <w:jc w:val="left"/>
        <w:tblInd w:w="0" w:type="dxa"/>
        <w:tblLayout w:type="fixed"/>
        <w:tblCellMar>
          <w:top w:w="28" w:type="dxa"/>
          <w:left w:w="28" w:type="dxa"/>
          <w:bottom w:w="28" w:type="dxa"/>
          <w:right w:w="28" w:type="dxa"/>
        </w:tblCellMar>
      </w:tblPr>
      <w:tblGrid>
        <w:gridCol w:w="948"/>
        <w:gridCol w:w="835"/>
        <w:gridCol w:w="841"/>
        <w:gridCol w:w="109"/>
        <w:gridCol w:w="109"/>
        <w:gridCol w:w="109"/>
        <w:gridCol w:w="211"/>
        <w:gridCol w:w="598"/>
        <w:gridCol w:w="117"/>
        <w:gridCol w:w="117"/>
        <w:gridCol w:w="117"/>
        <w:gridCol w:w="117"/>
        <w:gridCol w:w="211"/>
        <w:gridCol w:w="598"/>
        <w:gridCol w:w="117"/>
        <w:gridCol w:w="109"/>
        <w:gridCol w:w="109"/>
        <w:gridCol w:w="109"/>
        <w:gridCol w:w="196"/>
        <w:gridCol w:w="646"/>
        <w:gridCol w:w="109"/>
        <w:gridCol w:w="109"/>
        <w:gridCol w:w="109"/>
        <w:gridCol w:w="109"/>
        <w:gridCol w:w="196"/>
        <w:gridCol w:w="646"/>
        <w:gridCol w:w="154"/>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5</w:t>
            </w:r>
          </w:p>
        </w:tc>
      </w:tr>
      <w:tr>
        <w:trPr/>
        <w:tc>
          <w:tcPr>
            <w:tcW w:w="775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r>
      <w:tr>
        <w:trPr/>
        <w:tc>
          <w:tcPr>
            <w:tcW w:w="515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 Information</w:t>
            </w:r>
          </w:p>
        </w:tc>
      </w:tr>
      <w:tr>
        <w:trPr/>
        <w:tc>
          <w:tcPr>
            <w:tcW w:w="515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and Six Months Ended June 30, 2026 and 2025</w:t>
            </w:r>
          </w:p>
        </w:tc>
      </w:tr>
      <w:tr>
        <w:trPr/>
        <w:tc>
          <w:tcPr>
            <w:tcW w:w="515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(Unaudited)</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Oral, Personal and Home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North America</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Europe, Middle East &amp; Africa</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Asia Pacific</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Oral, Personal and Home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Hill's Pet 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Oral, Personal and Home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North America</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Europe, Middle East &amp; Africa</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Asia Pacific</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Oral, Personal and Home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Hill's Pet 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Corporate</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11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1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0"/>
        <w:jc w:val="left"/>
        <w:rPr/>
      </w:pPr>
      <w:r>
        <w:rPr/>
      </w:r>
    </w:p>
    <w:p>
      <w:pPr>
        <w:pStyle w:val="TextBody"/>
        <w:bidi w:val="0"/>
        <w:spacing w:lineRule="auto" w:line="288" w:before="20" w:after="20"/>
        <w:jc w:val="left"/>
        <w:rPr>
          <w:rFonts w:ascii="Times New Roman;serif" w:hAnsi="Times New Roman;serif"/>
          <w:b w:val="false"/>
          <w:color w:val="000000"/>
          <w:sz w:val="16"/>
        </w:rPr>
      </w:pPr>
      <w:r>
        <w:rPr>
          <w:rFonts w:ascii="Times New Roman;serif" w:hAnsi="Times New Roman;serif"/>
          <w:b w:val="false"/>
          <w:color w:val="000000"/>
          <w:sz w:val="16"/>
        </w:rPr>
        <w:t>Tables may not sum due to rounding.</w:t>
      </w:r>
    </w:p>
    <w:p>
      <w:pPr>
        <w:pStyle w:val="TextBody"/>
        <w:bidi w:val="0"/>
        <w:spacing w:before="20" w:after="20"/>
        <w:jc w:val="left"/>
        <w:rPr/>
      </w:pPr>
      <w:r>
        <w:rPr/>
      </w:r>
    </w:p>
    <w:p>
      <w:pPr>
        <w:pStyle w:val="TextBody"/>
        <w:bidi w:val="0"/>
        <w:spacing w:lineRule="auto" w:line="288" w:before="20" w:after="2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20" w:after="20"/>
        <w:jc w:val="left"/>
        <w:rPr>
          <w:rFonts w:ascii="Times New Roman;serif" w:hAnsi="Times New Roman;serif"/>
          <w:b w:val="false"/>
          <w:color w:val="000000"/>
          <w:sz w:val="16"/>
        </w:rPr>
      </w:pPr>
      <w:r>
        <w:rPr>
          <w:rFonts w:ascii="Times New Roman;serif" w:hAnsi="Times New Roman;serif"/>
          <w:b w:val="false"/>
          <w:color w:val="000000"/>
          <w:sz w:val="16"/>
        </w:rPr>
        <w:t>(1) The Company has recast its historical geographic segment information to conform to the reporting structure effective for the quarter ended March 31, 2026.</w:t>
      </w:r>
    </w:p>
    <w:p>
      <w:pPr>
        <w:pStyle w:val="TextBody"/>
        <w:bidi w:val="0"/>
        <w:spacing w:before="20" w:after="20"/>
        <w:jc w:val="left"/>
        <w:rPr/>
      </w:pPr>
      <w:r>
        <w:rPr/>
      </w:r>
    </w:p>
    <w:p>
      <w:pPr>
        <w:pStyle w:val="TextBody"/>
        <w:bidi w:val="0"/>
        <w:spacing w:lineRule="auto" w:line="288" w:before="20" w:after="260"/>
        <w:jc w:val="left"/>
        <w:rPr>
          <w:rFonts w:ascii="Times New Roman;serif" w:hAnsi="Times New Roman;serif"/>
          <w:b w:val="false"/>
          <w:color w:val="000000"/>
          <w:sz w:val="16"/>
        </w:rPr>
      </w:pPr>
      <w:r>
        <w:rPr>
          <w:rFonts w:ascii="Times New Roman;serif" w:hAnsi="Times New Roman;serif"/>
          <w:b w:val="false"/>
          <w:color w:val="000000"/>
          <w:sz w:val="16"/>
        </w:rPr>
        <w:t xml:space="preserve">(2) Corporate operations include costs related to stock options and restricted stock units, research and development costs, Corporate overhead costs, restructuring and related implementation charges and gains and losses on sales of non-core product lines and assets.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Corporate Operating profit (loss) for the three and six months ended June 30, 2026 included charges resulting from the Strategic Growth and Productivity Program of $129 and $300,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Corporate Operating profit (loss) for the three months ended June 30, 2025 included acquisition-related costs of $9.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Corporate Operating profit (loss) for the six months ended June 30, 2025 included charges resulting from the ERISA litigation matter of $15 and acquisition-related costs of $9.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44"/>
        <w:gridCol w:w="647"/>
        <w:gridCol w:w="653"/>
        <w:gridCol w:w="109"/>
        <w:gridCol w:w="109"/>
        <w:gridCol w:w="109"/>
        <w:gridCol w:w="237"/>
        <w:gridCol w:w="235"/>
        <w:gridCol w:w="503"/>
        <w:gridCol w:w="109"/>
        <w:gridCol w:w="109"/>
        <w:gridCol w:w="109"/>
        <w:gridCol w:w="245"/>
        <w:gridCol w:w="232"/>
        <w:gridCol w:w="517"/>
        <w:gridCol w:w="109"/>
        <w:gridCol w:w="109"/>
        <w:gridCol w:w="119"/>
        <w:gridCol w:w="119"/>
        <w:gridCol w:w="119"/>
        <w:gridCol w:w="230"/>
        <w:gridCol w:w="225"/>
        <w:gridCol w:w="501"/>
        <w:gridCol w:w="119"/>
        <w:gridCol w:w="119"/>
        <w:gridCol w:w="119"/>
        <w:gridCol w:w="217"/>
        <w:gridCol w:w="219"/>
        <w:gridCol w:w="372"/>
        <w:gridCol w:w="119"/>
        <w:gridCol w:w="119"/>
        <w:gridCol w:w="119"/>
        <w:gridCol w:w="119"/>
        <w:gridCol w:w="119"/>
        <w:gridCol w:w="229"/>
        <w:gridCol w:w="229"/>
        <w:gridCol w:w="519"/>
        <w:gridCol w:w="109"/>
        <w:gridCol w:w="109"/>
        <w:gridCol w:w="109"/>
        <w:gridCol w:w="219"/>
        <w:gridCol w:w="219"/>
        <w:gridCol w:w="505"/>
      </w:tblGrid>
      <w:tr>
        <w:trPr/>
        <w:tc>
          <w:tcPr>
            <w:tcW w:w="7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7601" w:type="dxa"/>
            <w:gridSpan w:val="31"/>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6</w:t>
            </w:r>
          </w:p>
        </w:tc>
        <w:tc>
          <w:tcPr>
            <w:tcW w:w="2604" w:type="dxa"/>
            <w:gridSpan w:val="12"/>
            <w:tcBorders/>
          </w:tcPr>
          <w:p>
            <w:pPr>
              <w:pStyle w:val="TableContents"/>
              <w:bidi w:val="0"/>
              <w:spacing w:before="0" w:after="283"/>
              <w:jc w:val="left"/>
              <w:rPr>
                <w:sz w:val="4"/>
                <w:szCs w:val="4"/>
              </w:rPr>
            </w:pPr>
            <w:r>
              <w:rPr>
                <w:sz w:val="4"/>
                <w:szCs w:val="4"/>
              </w:rPr>
            </w:r>
          </w:p>
        </w:tc>
      </w:tr>
      <w:tr>
        <w:trPr/>
        <w:tc>
          <w:tcPr>
            <w:tcW w:w="760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c>
          <w:tcPr>
            <w:tcW w:w="2604" w:type="dxa"/>
            <w:gridSpan w:val="12"/>
            <w:tcBorders/>
          </w:tcPr>
          <w:p>
            <w:pPr>
              <w:pStyle w:val="TableContents"/>
              <w:bidi w:val="0"/>
              <w:spacing w:before="0" w:after="283"/>
              <w:jc w:val="left"/>
              <w:rPr>
                <w:sz w:val="4"/>
                <w:szCs w:val="4"/>
              </w:rPr>
            </w:pPr>
            <w:r>
              <w:rPr>
                <w:sz w:val="4"/>
                <w:szCs w:val="4"/>
              </w:rPr>
            </w:r>
          </w:p>
        </w:tc>
      </w:tr>
      <w:tr>
        <w:trPr/>
        <w:tc>
          <w:tcPr>
            <w:tcW w:w="7601" w:type="dxa"/>
            <w:gridSpan w:val="3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12"/>
            <w:tcBorders/>
          </w:tcPr>
          <w:p>
            <w:pPr>
              <w:pStyle w:val="TableContents"/>
              <w:bidi w:val="0"/>
              <w:spacing w:before="0" w:after="283"/>
              <w:jc w:val="left"/>
              <w:rPr>
                <w:sz w:val="4"/>
                <w:szCs w:val="4"/>
              </w:rPr>
            </w:pPr>
            <w:r>
              <w:rPr>
                <w:sz w:val="4"/>
                <w:szCs w:val="4"/>
              </w:rPr>
            </w:r>
          </w:p>
        </w:tc>
      </w:tr>
      <w:tr>
        <w:trPr/>
        <w:tc>
          <w:tcPr>
            <w:tcW w:w="760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Geographic Sales Analysis Percentage Changes</w:t>
            </w:r>
          </w:p>
        </w:tc>
        <w:tc>
          <w:tcPr>
            <w:tcW w:w="2604" w:type="dxa"/>
            <w:gridSpan w:val="12"/>
            <w:tcBorders/>
          </w:tcPr>
          <w:p>
            <w:pPr>
              <w:pStyle w:val="TableContents"/>
              <w:bidi w:val="0"/>
              <w:spacing w:before="0" w:after="283"/>
              <w:jc w:val="left"/>
              <w:rPr>
                <w:sz w:val="4"/>
                <w:szCs w:val="4"/>
              </w:rPr>
            </w:pPr>
            <w:r>
              <w:rPr>
                <w:sz w:val="4"/>
                <w:szCs w:val="4"/>
              </w:rPr>
            </w:r>
          </w:p>
        </w:tc>
      </w:tr>
      <w:tr>
        <w:trPr/>
        <w:tc>
          <w:tcPr>
            <w:tcW w:w="7601" w:type="dxa"/>
            <w:gridSpan w:val="3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12"/>
            <w:tcBorders/>
          </w:tcPr>
          <w:p>
            <w:pPr>
              <w:pStyle w:val="TableContents"/>
              <w:bidi w:val="0"/>
              <w:spacing w:before="0" w:after="283"/>
              <w:jc w:val="left"/>
              <w:rPr>
                <w:sz w:val="4"/>
                <w:szCs w:val="4"/>
              </w:rPr>
            </w:pPr>
            <w:r>
              <w:rPr>
                <w:sz w:val="4"/>
                <w:szCs w:val="4"/>
              </w:rPr>
            </w:r>
          </w:p>
        </w:tc>
      </w:tr>
      <w:tr>
        <w:trPr/>
        <w:tc>
          <w:tcPr>
            <w:tcW w:w="760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 vs. 2025</w:t>
            </w:r>
          </w:p>
        </w:tc>
        <w:tc>
          <w:tcPr>
            <w:tcW w:w="2604" w:type="dxa"/>
            <w:gridSpan w:val="12"/>
            <w:tcBorders/>
          </w:tcPr>
          <w:p>
            <w:pPr>
              <w:pStyle w:val="TableContents"/>
              <w:bidi w:val="0"/>
              <w:spacing w:before="0" w:after="283"/>
              <w:jc w:val="left"/>
              <w:rPr>
                <w:sz w:val="4"/>
                <w:szCs w:val="4"/>
              </w:rPr>
            </w:pPr>
            <w:r>
              <w:rPr>
                <w:sz w:val="4"/>
                <w:szCs w:val="4"/>
              </w:rPr>
            </w:r>
          </w:p>
        </w:tc>
      </w:tr>
      <w:tr>
        <w:trPr/>
        <w:tc>
          <w:tcPr>
            <w:tcW w:w="7601" w:type="dxa"/>
            <w:gridSpan w:val="3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12"/>
            <w:tcBorders/>
          </w:tcPr>
          <w:p>
            <w:pPr>
              <w:pStyle w:val="TableContents"/>
              <w:bidi w:val="0"/>
              <w:spacing w:before="0" w:after="283"/>
              <w:jc w:val="left"/>
              <w:rPr>
                <w:sz w:val="4"/>
                <w:szCs w:val="4"/>
              </w:rPr>
            </w:pPr>
            <w:r>
              <w:rPr>
                <w:sz w:val="4"/>
                <w:szCs w:val="4"/>
              </w:rPr>
            </w:r>
          </w:p>
        </w:tc>
      </w:tr>
      <w:tr>
        <w:trPr/>
        <w:tc>
          <w:tcPr>
            <w:tcW w:w="760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2604" w:type="dxa"/>
            <w:gridSpan w:val="12"/>
            <w:tcBorders/>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2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6"/>
            <w:tcBorders/>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2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6"/>
            <w:tcBorders/>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2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6"/>
            <w:tcBorders/>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2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COMPONENTS OF SALES CHANGE</w:t>
            </w:r>
          </w:p>
        </w:tc>
        <w:tc>
          <w:tcPr>
            <w:tcW w:w="1270" w:type="dxa"/>
            <w:gridSpan w:val="6"/>
            <w:tcBorders/>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Coupons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Sales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u w:val="single"/>
              </w:rPr>
              <w:t>Volume</w:t>
            </w:r>
            <w:r>
              <w:rPr>
                <w:rFonts w:ascii="Times New Roman;serif" w:hAnsi="Times New Roman;serif"/>
                <w:b/>
                <w:color w:val="000000"/>
                <w:sz w:val="10"/>
                <w:u w:val="single"/>
              </w:rPr>
              <w:t>(1)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Volume</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Incentives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Exchange</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North America</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Europe, Middle East &amp; Africa</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Asia Pacific</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CP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Hill’s Pet Nutrition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Emerging Markets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Table may not sum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Notes: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impact of the acquisition of the Prime100 pet food business on as reported volume was 0.1%, 0.6% and 0.3% for Total Company, Hill's Pet Nutrition and Developed Markets,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The Company has recast its historical geographic segment information to conform to the reporting structure effective for the quarter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Emerging Markets include Latin America, Asia (excluding Japan), Africa, the Middle East and Eastern and Central Europe.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tbl>
      <w:tblPr>
        <w:tblW w:w="10169" w:type="dxa"/>
        <w:jc w:val="left"/>
        <w:tblInd w:w="0" w:type="dxa"/>
        <w:tblLayout w:type="fixed"/>
        <w:tblCellMar>
          <w:top w:w="28" w:type="dxa"/>
          <w:left w:w="28" w:type="dxa"/>
          <w:bottom w:w="28" w:type="dxa"/>
          <w:right w:w="28" w:type="dxa"/>
        </w:tblCellMar>
      </w:tblPr>
      <w:tblGrid>
        <w:gridCol w:w="865"/>
        <w:gridCol w:w="764"/>
        <w:gridCol w:w="770"/>
        <w:gridCol w:w="109"/>
        <w:gridCol w:w="109"/>
        <w:gridCol w:w="109"/>
        <w:gridCol w:w="237"/>
        <w:gridCol w:w="237"/>
        <w:gridCol w:w="531"/>
        <w:gridCol w:w="109"/>
        <w:gridCol w:w="109"/>
        <w:gridCol w:w="109"/>
        <w:gridCol w:w="252"/>
        <w:gridCol w:w="252"/>
        <w:gridCol w:w="561"/>
        <w:gridCol w:w="109"/>
        <w:gridCol w:w="109"/>
        <w:gridCol w:w="109"/>
        <w:gridCol w:w="238"/>
        <w:gridCol w:w="238"/>
        <w:gridCol w:w="529"/>
        <w:gridCol w:w="112"/>
        <w:gridCol w:w="112"/>
        <w:gridCol w:w="112"/>
        <w:gridCol w:w="224"/>
        <w:gridCol w:w="226"/>
        <w:gridCol w:w="372"/>
        <w:gridCol w:w="112"/>
        <w:gridCol w:w="112"/>
        <w:gridCol w:w="112"/>
        <w:gridCol w:w="239"/>
        <w:gridCol w:w="239"/>
        <w:gridCol w:w="542"/>
        <w:gridCol w:w="112"/>
        <w:gridCol w:w="112"/>
        <w:gridCol w:w="112"/>
        <w:gridCol w:w="188"/>
        <w:gridCol w:w="188"/>
        <w:gridCol w:w="488"/>
      </w:tblGrid>
      <w:tr>
        <w:trPr/>
        <w:tc>
          <w:tcPr>
            <w:tcW w:w="86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0169" w:type="dxa"/>
            <w:gridSpan w:val="3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7</w:t>
            </w:r>
          </w:p>
        </w:tc>
      </w:tr>
      <w:tr>
        <w:trPr/>
        <w:tc>
          <w:tcPr>
            <w:tcW w:w="101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r>
      <w:tr>
        <w:trPr/>
        <w:tc>
          <w:tcPr>
            <w:tcW w:w="10169"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Geographic Sales Analysis Percentage Changes</w:t>
            </w:r>
          </w:p>
        </w:tc>
      </w:tr>
      <w:tr>
        <w:trPr/>
        <w:tc>
          <w:tcPr>
            <w:tcW w:w="10169"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 vs. 2025</w:t>
            </w:r>
          </w:p>
        </w:tc>
      </w:tr>
      <w:tr>
        <w:trPr/>
        <w:tc>
          <w:tcPr>
            <w:tcW w:w="10169"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COMPONENTS OF SALES CHANGE</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Pricing</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Coupons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&amp;</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Sales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u w:val="single"/>
              </w:rPr>
              <w:t>Volume</w:t>
            </w:r>
            <w:r>
              <w:rPr>
                <w:rFonts w:ascii="Times New Roman;serif" w:hAnsi="Times New Roman;serif"/>
                <w:b/>
                <w:color w:val="000000"/>
                <w:sz w:val="10"/>
                <w:u w:val="single"/>
              </w:rPr>
              <w:t>(1)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Volume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Incentives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Exchange</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North America</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Europe, Middle East &amp; Africa</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Asia Pacific</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CP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Hill’s Pet 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Emerging Markets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Table may not sum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Notes: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impact of the acquisition of the Prime100 pet food business on as reported volume was 0.3%, 1.3% and 0.6% for Total Company, Hill's Pet Nutrition and Developed Markets,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The Company has recast its historical geographic segment information to conform to the reporting structure effective for the quarter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Emerging Markets include Latin America, Asia (excluding Japan), Africa, the Middle East and Eastern and Central Europe.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24"/>
        <w:gridCol w:w="715"/>
        <w:gridCol w:w="717"/>
        <w:gridCol w:w="239"/>
        <w:gridCol w:w="239"/>
        <w:gridCol w:w="239"/>
        <w:gridCol w:w="218"/>
        <w:gridCol w:w="218"/>
        <w:gridCol w:w="218"/>
        <w:gridCol w:w="128"/>
        <w:gridCol w:w="128"/>
        <w:gridCol w:w="128"/>
        <w:gridCol w:w="128"/>
        <w:gridCol w:w="128"/>
        <w:gridCol w:w="128"/>
        <w:gridCol w:w="128"/>
        <w:gridCol w:w="128"/>
        <w:gridCol w:w="128"/>
        <w:gridCol w:w="128"/>
        <w:gridCol w:w="128"/>
        <w:gridCol w:w="128"/>
        <w:gridCol w:w="128"/>
        <w:gridCol w:w="128"/>
        <w:gridCol w:w="128"/>
        <w:gridCol w:w="109"/>
        <w:gridCol w:w="109"/>
        <w:gridCol w:w="109"/>
        <w:gridCol w:w="109"/>
        <w:gridCol w:w="109"/>
        <w:gridCol w:w="109"/>
        <w:gridCol w:w="109"/>
        <w:gridCol w:w="109"/>
        <w:gridCol w:w="109"/>
        <w:gridCol w:w="196"/>
        <w:gridCol w:w="556"/>
        <w:gridCol w:w="241"/>
        <w:gridCol w:w="109"/>
        <w:gridCol w:w="109"/>
        <w:gridCol w:w="109"/>
        <w:gridCol w:w="196"/>
        <w:gridCol w:w="556"/>
        <w:gridCol w:w="241"/>
        <w:gridCol w:w="109"/>
        <w:gridCol w:w="109"/>
        <w:gridCol w:w="109"/>
        <w:gridCol w:w="250"/>
        <w:gridCol w:w="241"/>
        <w:gridCol w:w="546"/>
      </w:tblGrid>
      <w:tr>
        <w:trPr/>
        <w:tc>
          <w:tcPr>
            <w:tcW w:w="82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8</w:t>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r>
      <w:tr>
        <w:trPr/>
        <w:tc>
          <w:tcPr>
            <w:tcW w:w="10205"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Reconciliations</w:t>
            </w:r>
          </w:p>
        </w:tc>
      </w:tr>
      <w:tr>
        <w:trPr/>
        <w:tc>
          <w:tcPr>
            <w:tcW w:w="10205"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 and 2025</w:t>
            </w:r>
          </w:p>
        </w:tc>
      </w:tr>
      <w:tr>
        <w:trPr/>
        <w:tc>
          <w:tcPr>
            <w:tcW w:w="10205"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Amounts) (Unaudited)</w:t>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GAAP</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3,069 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36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2684" w:type="dxa"/>
            <w:gridSpan w:val="12"/>
            <w:tcBorders/>
          </w:tcPr>
          <w:p>
            <w:pPr>
              <w:pStyle w:val="TableContents"/>
              <w:bidi w:val="0"/>
              <w:spacing w:before="0" w:after="283"/>
              <w:jc w:val="left"/>
              <w:rPr>
                <w:sz w:val="4"/>
                <w:szCs w:val="4"/>
              </w:rPr>
            </w:pPr>
            <w:r>
              <w:rPr>
                <w:sz w:val="4"/>
                <w:szCs w:val="4"/>
              </w:rPr>
            </w:r>
          </w:p>
        </w:tc>
      </w:tr>
      <w:tr>
        <w:trPr/>
        <w:tc>
          <w:tcPr>
            <w:tcW w:w="29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non-GAAP</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3,069 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7" w:type="dxa"/>
            <w:gridSpan w:val="15"/>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2684" w:type="dxa"/>
            <w:gridSpan w:val="12"/>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7" w:type="dxa"/>
            <w:gridSpan w:val="9"/>
            <w:tcBorders/>
          </w:tcPr>
          <w:p>
            <w:pPr>
              <w:pStyle w:val="TableContents"/>
              <w:bidi w:val="0"/>
              <w:spacing w:before="0" w:after="283"/>
              <w:jc w:val="left"/>
              <w:rPr>
                <w:sz w:val="4"/>
                <w:szCs w:val="4"/>
              </w:rPr>
            </w:pPr>
            <w:r>
              <w:rPr>
                <w:sz w:val="4"/>
                <w:szCs w:val="4"/>
              </w:rPr>
            </w:r>
          </w:p>
        </w:tc>
      </w:tr>
      <w:tr>
        <w:trPr/>
        <w:tc>
          <w:tcPr>
            <w:tcW w:w="401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Selling, General and Administrative Expenses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GAAP</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7"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Basis Point</w:t>
            </w:r>
          </w:p>
        </w:tc>
      </w:tr>
      <w:tr>
        <w:trPr/>
        <w:tc>
          <w:tcPr>
            <w:tcW w:w="5547"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Selling, General and Administrative Expenses as a Percentage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547"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as a percentage of Net sales,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5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1"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as a percentage of Net sales,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5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 Net</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 GAAP</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 non-GAAP</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Profit</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GAAP</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5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non-GAAP</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5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Basis Point</w:t>
            </w:r>
          </w:p>
        </w:tc>
      </w:tr>
      <w:tr>
        <w:trPr/>
        <w:tc>
          <w:tcPr>
            <w:tcW w:w="29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Profit Margin</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margin, GAAP</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5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margin, non-GAAP</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5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7" w:type="dxa"/>
            <w:gridSpan w:val="15"/>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7" w:type="dxa"/>
            <w:gridSpan w:val="15"/>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2684" w:type="dxa"/>
            <w:gridSpan w:val="12"/>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7" w:type="dxa"/>
            <w:gridSpan w:val="15"/>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949" w:type="dxa"/>
            <w:gridSpan w:val="45"/>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7" w:type="dxa"/>
            <w:gridSpan w:val="15"/>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7" w:type="dxa"/>
            <w:gridSpan w:val="15"/>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7" w:type="dxa"/>
            <w:gridSpan w:val="15"/>
            <w:tcBorders/>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779"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16"/>
              </w:rPr>
            </w:pPr>
            <w:r>
              <w:rPr>
                <w:rFonts w:ascii="Times New Roman;serif" w:hAnsi="Times New Roman;serif"/>
                <w:b w:val="false"/>
                <w:color w:val="000000"/>
                <w:sz w:val="16"/>
              </w:rPr>
              <w:t>Note: The impact of non-GAAP adjustments may not necessarily equal the difference between “GAAP” and “non-GAAP” as a result of rounding.</w:t>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tbl>
      <w:tblPr>
        <w:tblW w:w="10802" w:type="dxa"/>
        <w:jc w:val="left"/>
        <w:tblInd w:w="0" w:type="dxa"/>
        <w:tblLayout w:type="fixed"/>
        <w:tblCellMar>
          <w:top w:w="28" w:type="dxa"/>
          <w:left w:w="28" w:type="dxa"/>
          <w:bottom w:w="28" w:type="dxa"/>
          <w:right w:w="28" w:type="dxa"/>
        </w:tblCellMar>
      </w:tblPr>
      <w:tblGrid>
        <w:gridCol w:w="962"/>
        <w:gridCol w:w="239"/>
        <w:gridCol w:w="240"/>
        <w:gridCol w:w="196"/>
        <w:gridCol w:w="109"/>
        <w:gridCol w:w="109"/>
        <w:gridCol w:w="109"/>
        <w:gridCol w:w="109"/>
        <w:gridCol w:w="109"/>
        <w:gridCol w:w="109"/>
        <w:gridCol w:w="109"/>
        <w:gridCol w:w="109"/>
        <w:gridCol w:w="109"/>
        <w:gridCol w:w="109"/>
        <w:gridCol w:w="109"/>
        <w:gridCol w:w="214"/>
        <w:gridCol w:w="461"/>
        <w:gridCol w:w="121"/>
        <w:gridCol w:w="109"/>
        <w:gridCol w:w="109"/>
        <w:gridCol w:w="109"/>
        <w:gridCol w:w="324"/>
        <w:gridCol w:w="696"/>
        <w:gridCol w:w="181"/>
        <w:gridCol w:w="109"/>
        <w:gridCol w:w="109"/>
        <w:gridCol w:w="109"/>
        <w:gridCol w:w="370"/>
        <w:gridCol w:w="625"/>
        <w:gridCol w:w="206"/>
        <w:gridCol w:w="109"/>
        <w:gridCol w:w="109"/>
        <w:gridCol w:w="109"/>
        <w:gridCol w:w="393"/>
        <w:gridCol w:w="844"/>
        <w:gridCol w:w="219"/>
        <w:gridCol w:w="109"/>
        <w:gridCol w:w="109"/>
        <w:gridCol w:w="109"/>
        <w:gridCol w:w="288"/>
        <w:gridCol w:w="178"/>
        <w:gridCol w:w="395"/>
        <w:gridCol w:w="109"/>
        <w:gridCol w:w="109"/>
        <w:gridCol w:w="109"/>
        <w:gridCol w:w="196"/>
        <w:gridCol w:w="46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2" w:type="dxa"/>
            <w:gridSpan w:val="4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8</w:t>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802" w:type="dxa"/>
            <w:gridSpan w:val="4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Continued</w:t>
            </w:r>
          </w:p>
        </w:tc>
      </w:tr>
      <w:tr>
        <w:trPr/>
        <w:tc>
          <w:tcPr>
            <w:tcW w:w="10802"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r>
      <w:tr>
        <w:trPr/>
        <w:tc>
          <w:tcPr>
            <w:tcW w:w="10802"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2"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Reconciliations</w:t>
            </w:r>
          </w:p>
        </w:tc>
      </w:tr>
      <w:tr>
        <w:trPr/>
        <w:tc>
          <w:tcPr>
            <w:tcW w:w="10802"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2"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 and 2025</w:t>
            </w:r>
          </w:p>
        </w:tc>
      </w:tr>
      <w:tr>
        <w:trPr/>
        <w:tc>
          <w:tcPr>
            <w:tcW w:w="10802"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2"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Amounts) (Unaudited)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Before</w:t>
              <w:b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Provision For Income Taxes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Including</w:t>
              <w:b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Income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Attributable To</w:t>
              <w:br/>
              <w:t>Colgate-Palmolive</w:t>
              <w:br/>
              <w:t>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Effective Income</w:t>
            </w:r>
          </w:p>
          <w:p>
            <w:pPr>
              <w:pStyle w:val="TableContents"/>
              <w:bidi w:val="0"/>
              <w:spacing w:lineRule="auto" w:line="240" w:before="0" w:after="0"/>
              <w:jc w:val="center"/>
              <w:rPr/>
            </w:pPr>
            <w:r>
              <w:rPr>
                <w:rFonts w:ascii="Times New Roman;serif" w:hAnsi="Times New Roman;serif"/>
                <w:b/>
                <w:color w:val="000000"/>
                <w:sz w:val="16"/>
              </w:rPr>
              <w:t>Tax Rate</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Earnings</w:t>
              <w:br/>
              <w:t>Per Share</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Reported GAAP</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2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959" w:type="dxa"/>
            <w:gridSpan w:val="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2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Before</w:t>
              <w:b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Provision For Income Taxes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Including</w:t>
              <w:b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Income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Attributable To</w:t>
              <w:br/>
              <w:t>Colgate-Palmolive</w:t>
              <w:br/>
              <w:t>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Effective Income</w:t>
            </w:r>
          </w:p>
          <w:p>
            <w:pPr>
              <w:pStyle w:val="TableContents"/>
              <w:bidi w:val="0"/>
              <w:spacing w:lineRule="auto" w:line="240" w:before="0" w:after="0"/>
              <w:jc w:val="center"/>
              <w:rPr/>
            </w:pPr>
            <w:r>
              <w:rPr>
                <w:rFonts w:ascii="Times New Roman;serif" w:hAnsi="Times New Roman;serif"/>
                <w:b/>
                <w:color w:val="000000"/>
                <w:sz w:val="16"/>
              </w:rPr>
              <w:t>Tax Rate</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Earnings</w:t>
              <w:br/>
              <w:t>Per Share</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Reported GAAP</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2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43" w:type="dxa"/>
            <w:gridSpan w:val="6"/>
            <w:tcBorders/>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959" w:type="dxa"/>
            <w:gridSpan w:val="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7"/>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3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0.92 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The impact of non-GAAP adjustments may not necessarily equal the difference between “GAAP” and “non-GAAP” as a result of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income tax effect on non-GAAP items is calculated based upon the tax laws and statutory income tax rates applicable in the tax jurisdiction(s) of the underlying non-GAAP adjustment.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The impact of non-GAAP items on the Company’s effective tax rate represents the difference in the effective tax rate calculated with and without the non-GAAP adjustment on Income before income taxes and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66"/>
        <w:gridCol w:w="522"/>
        <w:gridCol w:w="250"/>
        <w:gridCol w:w="125"/>
        <w:gridCol w:w="125"/>
        <w:gridCol w:w="125"/>
        <w:gridCol w:w="122"/>
        <w:gridCol w:w="122"/>
        <w:gridCol w:w="122"/>
        <w:gridCol w:w="122"/>
        <w:gridCol w:w="122"/>
        <w:gridCol w:w="122"/>
        <w:gridCol w:w="116"/>
        <w:gridCol w:w="116"/>
        <w:gridCol w:w="116"/>
        <w:gridCol w:w="111"/>
        <w:gridCol w:w="111"/>
        <w:gridCol w:w="111"/>
        <w:gridCol w:w="111"/>
        <w:gridCol w:w="111"/>
        <w:gridCol w:w="111"/>
        <w:gridCol w:w="111"/>
        <w:gridCol w:w="111"/>
        <w:gridCol w:w="111"/>
        <w:gridCol w:w="109"/>
        <w:gridCol w:w="109"/>
        <w:gridCol w:w="109"/>
        <w:gridCol w:w="109"/>
        <w:gridCol w:w="109"/>
        <w:gridCol w:w="109"/>
        <w:gridCol w:w="109"/>
        <w:gridCol w:w="109"/>
        <w:gridCol w:w="109"/>
        <w:gridCol w:w="196"/>
        <w:gridCol w:w="556"/>
        <w:gridCol w:w="241"/>
        <w:gridCol w:w="109"/>
        <w:gridCol w:w="109"/>
        <w:gridCol w:w="109"/>
        <w:gridCol w:w="196"/>
        <w:gridCol w:w="556"/>
        <w:gridCol w:w="241"/>
        <w:gridCol w:w="109"/>
        <w:gridCol w:w="109"/>
        <w:gridCol w:w="109"/>
        <w:gridCol w:w="222"/>
        <w:gridCol w:w="222"/>
        <w:gridCol w:w="451"/>
        <w:gridCol w:w="109"/>
        <w:gridCol w:w="109"/>
        <w:gridCol w:w="109"/>
        <w:gridCol w:w="109"/>
        <w:gridCol w:w="109"/>
        <w:gridCol w:w="109"/>
        <w:gridCol w:w="109"/>
        <w:gridCol w:w="109"/>
        <w:gridCol w:w="109"/>
        <w:gridCol w:w="109"/>
        <w:gridCol w:w="109"/>
        <w:gridCol w:w="109"/>
        <w:gridCol w:w="109"/>
        <w:gridCol w:w="109"/>
        <w:gridCol w:w="171"/>
      </w:tblGrid>
      <w:tr>
        <w:trPr/>
        <w:tc>
          <w:tcPr>
            <w:tcW w:w="76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08" w:type="dxa"/>
            <w:gridSpan w:val="4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08"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08"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08"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Reconciliations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08"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08"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 and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08"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08"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Amounts)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GAAP</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9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4"/>
            <w:tcBorders/>
          </w:tcPr>
          <w:p>
            <w:pPr>
              <w:pStyle w:val="TableContents"/>
              <w:bidi w:val="0"/>
              <w:spacing w:before="0" w:after="283"/>
              <w:jc w:val="left"/>
              <w:rPr>
                <w:sz w:val="4"/>
                <w:szCs w:val="4"/>
              </w:rPr>
            </w:pPr>
            <w:r>
              <w:rPr>
                <w:sz w:val="4"/>
                <w:szCs w:val="4"/>
              </w:rPr>
            </w:r>
          </w:p>
        </w:tc>
      </w:tr>
      <w:tr>
        <w:trPr/>
        <w:tc>
          <w:tcPr>
            <w:tcW w:w="19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non-GAAP</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4"/>
            <w:tcBorders/>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4"/>
            <w:tcBorders/>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9"/>
            <w:tcBorders/>
          </w:tcPr>
          <w:p>
            <w:pPr>
              <w:pStyle w:val="TableContents"/>
              <w:bidi w:val="0"/>
              <w:spacing w:before="0" w:after="283"/>
              <w:jc w:val="left"/>
              <w:rPr>
                <w:sz w:val="4"/>
                <w:szCs w:val="4"/>
              </w:rPr>
            </w:pPr>
            <w:r>
              <w:rPr>
                <w:sz w:val="4"/>
                <w:szCs w:val="4"/>
              </w:rPr>
            </w:r>
          </w:p>
        </w:tc>
      </w:tr>
      <w:tr>
        <w:trPr/>
        <w:tc>
          <w:tcPr>
            <w:tcW w:w="264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64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Selling, General and Administrative Expenses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2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GAAP</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3,861 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9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9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992"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Basis Point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992"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Selling, General and Administrative Expenses as a Percentage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992"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as a percentage of Net sales,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4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9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9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646"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as a percentage of Net sales,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4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 Net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9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 GAAP</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9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9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 non-GAAP</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Profit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93"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Operating profit, GAAP</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4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93"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Operating profit, non-GAAP</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4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Basis Point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Profit Margin</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margin, GAAP</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4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64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margin, non-GAAP</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4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08"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gridSpan w:val="5"/>
            <w:tcBorders/>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gridSpan w:val="5"/>
            <w:tcBorders/>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gridSpan w:val="4"/>
            <w:tcBorders/>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gridSpan w:val="5"/>
            <w:tcBorders/>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697" w:type="dxa"/>
            <w:gridSpan w:val="15"/>
            <w:tcBorders/>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697" w:type="dxa"/>
            <w:gridSpan w:val="15"/>
            <w:tcBorders/>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697" w:type="dxa"/>
            <w:gridSpan w:val="15"/>
            <w:tcBorders/>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697" w:type="dxa"/>
            <w:gridSpan w:val="15"/>
            <w:tcBorders/>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2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Non-Service Related Postretirement Costs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2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Non-service related postretirement costs, GAAP</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2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Non-service related postretirement costs, non-GAAP</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08" w:type="dxa"/>
            <w:gridSpan w:val="48"/>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16"/>
              </w:rPr>
            </w:pPr>
            <w:r>
              <w:rPr>
                <w:rFonts w:ascii="Times New Roman;serif" w:hAnsi="Times New Roman;serif"/>
                <w:b w:val="false"/>
                <w:color w:val="000000"/>
                <w:sz w:val="16"/>
              </w:rPr>
              <w:t>Note: The impact of non-GAAP adjustments may not necessarily equal the difference between “GAAP” and “non-GAAP” as a result of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tbl>
      <w:tblPr>
        <w:tblW w:w="12437" w:type="dxa"/>
        <w:jc w:val="left"/>
        <w:tblInd w:w="0" w:type="dxa"/>
        <w:tblLayout w:type="fixed"/>
        <w:tblCellMar>
          <w:top w:w="28" w:type="dxa"/>
          <w:left w:w="28" w:type="dxa"/>
          <w:bottom w:w="28" w:type="dxa"/>
          <w:right w:w="28" w:type="dxa"/>
        </w:tblCellMar>
      </w:tblPr>
      <w:tblGrid>
        <w:gridCol w:w="962"/>
        <w:gridCol w:w="239"/>
        <w:gridCol w:w="240"/>
        <w:gridCol w:w="196"/>
        <w:gridCol w:w="109"/>
        <w:gridCol w:w="109"/>
        <w:gridCol w:w="109"/>
        <w:gridCol w:w="109"/>
        <w:gridCol w:w="109"/>
        <w:gridCol w:w="109"/>
        <w:gridCol w:w="109"/>
        <w:gridCol w:w="109"/>
        <w:gridCol w:w="109"/>
        <w:gridCol w:w="109"/>
        <w:gridCol w:w="109"/>
        <w:gridCol w:w="214"/>
        <w:gridCol w:w="461"/>
        <w:gridCol w:w="121"/>
        <w:gridCol w:w="109"/>
        <w:gridCol w:w="109"/>
        <w:gridCol w:w="109"/>
        <w:gridCol w:w="273"/>
        <w:gridCol w:w="775"/>
        <w:gridCol w:w="153"/>
        <w:gridCol w:w="109"/>
        <w:gridCol w:w="109"/>
        <w:gridCol w:w="109"/>
        <w:gridCol w:w="370"/>
        <w:gridCol w:w="625"/>
        <w:gridCol w:w="206"/>
        <w:gridCol w:w="109"/>
        <w:gridCol w:w="109"/>
        <w:gridCol w:w="109"/>
        <w:gridCol w:w="331"/>
        <w:gridCol w:w="940"/>
        <w:gridCol w:w="185"/>
        <w:gridCol w:w="109"/>
        <w:gridCol w:w="109"/>
        <w:gridCol w:w="109"/>
        <w:gridCol w:w="288"/>
        <w:gridCol w:w="178"/>
        <w:gridCol w:w="395"/>
        <w:gridCol w:w="109"/>
        <w:gridCol w:w="109"/>
        <w:gridCol w:w="109"/>
        <w:gridCol w:w="196"/>
        <w:gridCol w:w="466"/>
        <w:gridCol w:w="109"/>
        <w:gridCol w:w="109"/>
        <w:gridCol w:w="109"/>
        <w:gridCol w:w="109"/>
        <w:gridCol w:w="109"/>
        <w:gridCol w:w="109"/>
        <w:gridCol w:w="109"/>
        <w:gridCol w:w="109"/>
        <w:gridCol w:w="109"/>
        <w:gridCol w:w="109"/>
        <w:gridCol w:w="109"/>
        <w:gridCol w:w="109"/>
        <w:gridCol w:w="109"/>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57" w:type="dxa"/>
            <w:gridSpan w:val="4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57" w:type="dxa"/>
            <w:gridSpan w:val="4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Continued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57"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57"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57"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Reconciliations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57"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57"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 and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57"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57"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Amounts)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Before</w:t>
              <w:b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Provision For Income Taxes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Including</w:t>
              <w:b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Income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Attributable To</w:t>
              <w:br/>
              <w:t>Colgate-Palmolive</w:t>
              <w:br/>
              <w:t>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Effective Income</w:t>
            </w:r>
          </w:p>
          <w:p>
            <w:pPr>
              <w:pStyle w:val="TableContents"/>
              <w:bidi w:val="0"/>
              <w:spacing w:lineRule="auto" w:line="240" w:before="0" w:after="0"/>
              <w:jc w:val="center"/>
              <w:rPr/>
            </w:pPr>
            <w:r>
              <w:rPr>
                <w:rFonts w:ascii="Times New Roman;serif" w:hAnsi="Times New Roman;serif"/>
                <w:b/>
                <w:color w:val="000000"/>
                <w:sz w:val="16"/>
              </w:rPr>
              <w:t>Tax Rate</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Earnings</w:t>
              <w:b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Reported GAAP</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1,401 </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959" w:type="dxa"/>
            <w:gridSpan w:val="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1,645 </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Before</w:t>
              <w:b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Provision For Income Taxes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Including</w:t>
              <w:b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Income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Attributable To</w:t>
              <w:br/>
              <w:t>Colgate-Palmolive</w:t>
              <w:br/>
              <w:t>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Effective Income</w:t>
            </w:r>
          </w:p>
          <w:p>
            <w:pPr>
              <w:pStyle w:val="TableContents"/>
              <w:bidi w:val="0"/>
              <w:spacing w:lineRule="auto" w:line="240" w:before="0" w:after="0"/>
              <w:jc w:val="center"/>
              <w:rPr/>
            </w:pPr>
            <w:r>
              <w:rPr>
                <w:rFonts w:ascii="Times New Roman;serif" w:hAnsi="Times New Roman;serif"/>
                <w:b/>
                <w:color w:val="000000"/>
                <w:sz w:val="16"/>
              </w:rPr>
              <w:t>Tax Rate</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Earnings</w:t>
              <w:b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Reported GAAP</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959" w:type="dxa"/>
            <w:gridSpan w:val="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959" w:type="dxa"/>
            <w:gridSpan w:val="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7"/>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1,493 </w:t>
            </w:r>
          </w:p>
        </w:tc>
        <w:tc>
          <w:tcPr>
            <w:tcW w:w="1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3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The impact of non-GAAP adjustments may not necessarily equal the difference between “GAAP” and “non-GAAP” as a result of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income tax effect on non-GAAP items is calculated based upon the tax laws and statutory income tax rates applicable in the tax jurisdiction(s) of the underlying non-GAAP adjustment.</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6"/>
        </w:rPr>
      </w:pPr>
      <w:r>
        <w:rPr>
          <w:rFonts w:ascii="Times New Roman;serif" w:hAnsi="Times New Roman;serif"/>
          <w:b w:val="false"/>
          <w:color w:val="000000"/>
          <w:sz w:val="16"/>
        </w:rPr>
        <w:t>(2) The impact of non-GAAP items on the Company’s effective tax rate represents the difference in the effective tax rate calculated with and without the non-GAAP adjustment on Income before income taxes and Provision for income taxes.</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5811</Words>
  <Characters>31338</Characters>
  <CharactersWithSpaces>36447</CharactersWithSpaces>
  <Paragraphs>1603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