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Wallace Noel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COLGATE-PALMOLIVE COMPANY</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PARK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COLGATE PALMOLIVE CO</w:t>
              </w:r>
            </w:hyperlink>
            <w:r>
              <w:rPr/>
              <w:t xml:space="preserve"> [ </w:t>
            </w:r>
            <w:r>
              <w:rPr>
                <w:rFonts w:ascii="Times;serif" w:hAnsi="Times;serif"/>
                <w:color w:val="0000FF"/>
                <w:sz w:val="24"/>
                <w:shd w:fill="FFFFFF" w:val="clear"/>
              </w:rPr>
              <w:t>CL</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Chairman, President &amp; CEO</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08/04/2026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07"/>
        <w:gridCol w:w="913"/>
        <w:gridCol w:w="783"/>
        <w:gridCol w:w="606"/>
        <w:gridCol w:w="342"/>
        <w:gridCol w:w="1008"/>
        <w:gridCol w:w="430"/>
        <w:gridCol w:w="983"/>
        <w:gridCol w:w="1128"/>
        <w:gridCol w:w="974"/>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0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2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0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0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161,021</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72.29</w:t>
            </w:r>
          </w:p>
        </w:tc>
        <w:tc>
          <w:tcPr>
            <w:tcW w:w="11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523,252</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161,021</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91.9179</w:t>
            </w:r>
            <w:r>
              <w:rPr>
                <w:rFonts w:ascii="Times;serif" w:hAnsi="Times;serif"/>
                <w:color w:val="008000"/>
                <w:position w:val="7"/>
                <w:sz w:val="16"/>
                <w:sz w:val="20"/>
                <w:shd w:fill="FFFFFF" w:val="clear"/>
              </w:rPr>
              <w:t>(3)</w:t>
            </w:r>
          </w:p>
        </w:tc>
        <w:tc>
          <w:tcPr>
            <w:tcW w:w="11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362,231</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161,021</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72.29</w:t>
            </w:r>
          </w:p>
        </w:tc>
        <w:tc>
          <w:tcPr>
            <w:tcW w:w="11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523,252</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161,021</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92.5215</w:t>
            </w:r>
            <w:r>
              <w:rPr>
                <w:rFonts w:ascii="Times;serif" w:hAnsi="Times;serif"/>
                <w:color w:val="008000"/>
                <w:position w:val="7"/>
                <w:sz w:val="16"/>
                <w:sz w:val="20"/>
                <w:shd w:fill="FFFFFF" w:val="clear"/>
              </w:rPr>
              <w:t>(4)</w:t>
            </w:r>
          </w:p>
        </w:tc>
        <w:tc>
          <w:tcPr>
            <w:tcW w:w="11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362,231</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54,868</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Issuer's 401(k) Plan Trustee</w:t>
            </w:r>
          </w:p>
        </w:tc>
      </w:tr>
      <w:tr>
        <w:trPr/>
        <w:tc>
          <w:tcPr>
            <w:tcW w:w="210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52,000</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 Trust</w:t>
            </w:r>
          </w:p>
        </w:tc>
      </w:tr>
      <w:tr>
        <w:trPr/>
        <w:tc>
          <w:tcPr>
            <w:tcW w:w="210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335</w:t>
            </w:r>
          </w:p>
        </w:tc>
        <w:tc>
          <w:tcPr>
            <w:tcW w:w="9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Trust</w:t>
            </w:r>
          </w:p>
        </w:tc>
      </w:tr>
    </w:tbl>
    <w:tbl>
      <w:tblPr>
        <w:tblW w:w="1225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816"/>
        <w:gridCol w:w="906"/>
        <w:gridCol w:w="801"/>
        <w:gridCol w:w="891"/>
        <w:gridCol w:w="92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72.29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161,021</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09/12/2027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161,021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0.0000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161,021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72.29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161,021</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09/12/2027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161,021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Exercise of stock options awarded under the issuer's incentive compensation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Sale of shares with a portion of the proceeds delivered to the issuer for payment of the exercise price of options under the issuer's incentive compensation plan and the related tax withholding.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Weighted average price, as these shares were sold in multiple transactions at prices ranging from $91.50 to $92.30, inclusive. The reporting person undertakes to provide to the issuer, any security holder of the issuer, or the staff of the Securities and Exchange Commission, upon request, additional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Weighted average price, as these shares were sold in multiple transactions at prices ranging from $92.00 to $92.93, inclusive. The reporting person undertakes to provide to the issuer, any security holder of the issuer, or the staff of the Securities and Exchange Commission, upon request, additional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Option became exercisable in one-third increments beginning on the first anniversary of the September 12, 2019 grant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Kristine Hutchinson,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64265" TargetMode="External"/><Relationship Id="rId5" Type="http://schemas.openxmlformats.org/officeDocument/2006/relationships/hyperlink" Target="http://www.sec.gov/cgi-bin/browse-edgar?action=getcompany&amp;CIK=000002166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846</Words>
  <Characters>4594</Characters>
  <CharactersWithSpaces>5308</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