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COLGATE-PALMOLIVE COMPANY</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(Exact name of the registrant as specified in its charter)</w:t>
      </w:r>
    </w:p>
    <w:p>
      <w:pPr>
        <w:spacing w:after="0" w:line="248" w:lineRule="exact"/>
        <w:rPr>
          <w:sz w:val="24"/>
          <w:szCs w:val="24"/>
          <w:color w:val="auto"/>
        </w:rPr>
      </w:pPr>
    </w:p>
    <w:tbl>
      <w:tblPr>
        <w:tblLayout w:type="fixed"/>
        <w:tblInd w:w="88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Delaware</w:t>
            </w:r>
          </w:p>
        </w:tc>
        <w:tc>
          <w:tcPr>
            <w:tcW w:w="160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1460" w:type="dxa"/>
            <w:vAlign w:val="bottom"/>
            <w:gridSpan w:val="2"/>
          </w:tcPr>
          <w:p>
            <w:pPr>
              <w:jc w:val="right"/>
              <w:ind w:right="1080"/>
              <w:spacing w:after="0"/>
              <w:rPr>
                <w:sz w:val="20"/>
                <w:szCs w:val="20"/>
                <w:color w:val="auto"/>
              </w:rPr>
            </w:pPr>
            <w:r>
              <w:rPr>
                <w:rFonts w:ascii="Times New Roman" w:cs="Times New Roman" w:eastAsia="Times New Roman" w:hAnsi="Times New Roman"/>
                <w:sz w:val="16"/>
                <w:szCs w:val="16"/>
                <w:color w:val="auto"/>
                <w:w w:val="96"/>
              </w:rPr>
              <w:t>1-644</w:t>
            </w:r>
          </w:p>
        </w:tc>
        <w:tc>
          <w:tcPr>
            <w:tcW w:w="314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color w:val="auto"/>
              </w:rPr>
              <w:t>13-1815595</w:t>
            </w:r>
          </w:p>
        </w:tc>
      </w:tr>
      <w:tr>
        <w:trPr>
          <w:trHeight w:val="20"/>
        </w:trPr>
        <w:tc>
          <w:tcPr>
            <w:tcW w:w="116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1"/>
        </w:trPr>
        <w:tc>
          <w:tcPr>
            <w:tcW w:w="3380" w:type="dxa"/>
            <w:vAlign w:val="bottom"/>
            <w:gridSpan w:val="3"/>
          </w:tcPr>
          <w:p>
            <w:pPr>
              <w:jc w:val="center"/>
              <w:ind w:right="379"/>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2620" w:type="dxa"/>
            <w:vAlign w:val="bottom"/>
            <w:gridSpan w:val="4"/>
          </w:tcPr>
          <w:p>
            <w:pPr>
              <w:jc w:val="center"/>
              <w:ind w:left="19"/>
              <w:spacing w:after="0"/>
              <w:rPr>
                <w:sz w:val="20"/>
                <w:szCs w:val="20"/>
                <w:color w:val="auto"/>
              </w:rPr>
            </w:pPr>
            <w:r>
              <w:rPr>
                <w:rFonts w:ascii="Times New Roman" w:cs="Times New Roman" w:eastAsia="Times New Roman" w:hAnsi="Times New Roman"/>
                <w:sz w:val="16"/>
                <w:szCs w:val="16"/>
                <w:color w:val="auto"/>
              </w:rPr>
              <w:t>(Commission File Number)</w:t>
            </w:r>
          </w:p>
        </w:tc>
        <w:tc>
          <w:tcPr>
            <w:tcW w:w="500" w:type="dxa"/>
            <w:vAlign w:val="bottom"/>
          </w:tcPr>
          <w:p>
            <w:pPr>
              <w:spacing w:after="0"/>
              <w:rPr>
                <w:sz w:val="20"/>
                <w:szCs w:val="20"/>
                <w:color w:val="auto"/>
              </w:rPr>
            </w:pPr>
          </w:p>
        </w:tc>
        <w:tc>
          <w:tcPr>
            <w:tcW w:w="2640" w:type="dxa"/>
            <w:vAlign w:val="bottom"/>
            <w:gridSpan w:val="4"/>
          </w:tcPr>
          <w:p>
            <w:pPr>
              <w:jc w:val="center"/>
              <w:ind w:left="3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505"/>
        </w:trPr>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8"/>
              </w:rPr>
              <w:t>300 Park Avenue, New York, NY</w:t>
            </w:r>
          </w:p>
        </w:tc>
        <w:tc>
          <w:tcPr>
            <w:tcW w:w="208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10022</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1"/>
        </w:trPr>
        <w:tc>
          <w:tcPr>
            <w:tcW w:w="1160" w:type="dxa"/>
            <w:vAlign w:val="bottom"/>
          </w:tcPr>
          <w:p>
            <w:pPr>
              <w:spacing w:after="0"/>
              <w:rPr>
                <w:sz w:val="20"/>
                <w:szCs w:val="20"/>
                <w:color w:val="auto"/>
              </w:rPr>
            </w:pPr>
          </w:p>
        </w:tc>
        <w:tc>
          <w:tcPr>
            <w:tcW w:w="4840" w:type="dxa"/>
            <w:vAlign w:val="bottom"/>
            <w:gridSpan w:val="6"/>
          </w:tcPr>
          <w:p>
            <w:pPr>
              <w:jc w:val="center"/>
              <w:ind w:right="148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140" w:type="dxa"/>
            <w:vAlign w:val="bottom"/>
            <w:gridSpan w:val="5"/>
          </w:tcPr>
          <w:p>
            <w:pPr>
              <w:jc w:val="center"/>
              <w:ind w:right="1720"/>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384"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color w:val="auto"/>
        </w:rPr>
        <w:t>Stanley J. Sutula III</w:t>
      </w:r>
    </w:p>
    <w:p>
      <w:pPr>
        <w:spacing w:after="0" w:line="3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color w:val="auto"/>
        </w:rPr>
        <w:t>(212) 310-2000</w:t>
      </w:r>
    </w:p>
    <w:p>
      <w:pPr>
        <w:spacing w:after="0" w:line="2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6"/>
          <w:szCs w:val="16"/>
          <w:color w:val="auto"/>
        </w:rPr>
        <w:t>(Name and telephone number, including area code, of the person to</w:t>
      </w:r>
    </w:p>
    <w:p>
      <w:pPr>
        <w:jc w:val="center"/>
        <w:ind w:right="-19"/>
        <w:spacing w:after="0"/>
        <w:rPr>
          <w:sz w:val="20"/>
          <w:szCs w:val="20"/>
          <w:color w:val="auto"/>
        </w:rPr>
      </w:pPr>
      <w:r>
        <w:rPr>
          <w:rFonts w:ascii="Times New Roman" w:cs="Times New Roman" w:eastAsia="Times New Roman" w:hAnsi="Times New Roman"/>
          <w:sz w:val="16"/>
          <w:szCs w:val="16"/>
          <w:color w:val="auto"/>
        </w:rPr>
        <w:t>contact in connection with this report.)</w:t>
      </w:r>
    </w:p>
    <w:p>
      <w:pPr>
        <w:spacing w:after="0" w:line="3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83" w:lineRule="exact"/>
        <w:rPr>
          <w:sz w:val="24"/>
          <w:szCs w:val="24"/>
          <w:color w:val="auto"/>
        </w:rPr>
      </w:pPr>
    </w:p>
    <w:p>
      <w:pPr>
        <w:ind w:left="1240" w:right="3020" w:hanging="607"/>
        <w:spacing w:after="0" w:line="243" w:lineRule="auto"/>
        <w:tabs>
          <w:tab w:leader="none" w:pos="124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ectPr>
          <w:pgSz w:w="11900" w:h="16838" w:orient="portrait"/>
          <w:cols w:equalWidth="0" w:num="1">
            <w:col w:w="11240"/>
          </w:cols>
          <w:pgMar w:left="320" w:top="98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4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Colgate-Palmolive Company (the “Company”) has filed this Specialized Disclosure Form (Form SD) (including the Conflict Minerals Report) for the year ended December 31, 2025 to comply with Rule 13p-1 under the Securities Exchange Act of 1934 relating to “conflict minerals.” This report is also available in the “Investors” section of the Company’s website at https://www.colgatepalmolive.com. The reference to the Company’s website is provided for convenience only, and its contents are not incorporated by reference into this Specialized Disclosure Form (Form SD) nor deemed filed with the U.S. Securities and Exchange Commission.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Report for the year ended December 31, 2025 is filed as Exhibit 1.01 of this Specialized Disclosure Form (Form SD).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9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Conflict Minerals Report of Colgate-Palmolive Company, as required by Items 1.01 and 1.02 of this Specialized Disclosure Form</w:t>
            </w:r>
          </w:p>
        </w:tc>
      </w:tr>
      <w:tr>
        <w:trPr>
          <w:trHeight w:val="169"/>
        </w:trPr>
        <w:tc>
          <w:tcPr>
            <w:tcW w:w="1500" w:type="dxa"/>
            <w:vAlign w:val="bottom"/>
          </w:tcPr>
          <w:p>
            <w:pPr>
              <w:spacing w:after="0"/>
              <w:rPr>
                <w:sz w:val="14"/>
                <w:szCs w:val="14"/>
                <w:color w:val="auto"/>
              </w:rPr>
            </w:pPr>
          </w:p>
        </w:tc>
        <w:tc>
          <w:tcPr>
            <w:tcW w:w="932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(Form SD).</w:t>
            </w: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140"/>
          </w:cols>
          <w:pgMar w:left="400" w:top="765"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4700" w:type="dxa"/>
            <w:vAlign w:val="bottom"/>
            <w:gridSpan w:val="3"/>
          </w:tcPr>
          <w:p>
            <w:pPr>
              <w:ind w:left="1680"/>
              <w:spacing w:after="0"/>
              <w:rPr>
                <w:sz w:val="20"/>
                <w:szCs w:val="20"/>
                <w:color w:val="auto"/>
              </w:rPr>
            </w:pPr>
            <w:r>
              <w:rPr>
                <w:rFonts w:ascii="Times New Roman" w:cs="Times New Roman" w:eastAsia="Times New Roman" w:hAnsi="Times New Roman"/>
                <w:sz w:val="18"/>
                <w:szCs w:val="18"/>
                <w:b w:val="1"/>
                <w:bCs w:val="1"/>
                <w:color w:val="auto"/>
                <w:w w:val="98"/>
              </w:rPr>
              <w:t>COLGATE-PALMOLIVE COMPANY</w:t>
            </w:r>
          </w:p>
        </w:tc>
      </w:tr>
      <w:tr>
        <w:trPr>
          <w:trHeight w:val="41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47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By: /s/ Stanley J. Sutula III</w:t>
            </w:r>
          </w:p>
        </w:tc>
      </w:tr>
      <w:tr>
        <w:trPr>
          <w:trHeight w:val="20"/>
        </w:trPr>
        <w:tc>
          <w:tcPr>
            <w:tcW w:w="3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5"/>
        </w:trPr>
        <w:tc>
          <w:tcPr>
            <w:tcW w:w="3020" w:type="dxa"/>
            <w:vAlign w:val="bottom"/>
          </w:tcPr>
          <w:p>
            <w:pPr>
              <w:spacing w:after="0"/>
              <w:rPr>
                <w:sz w:val="21"/>
                <w:szCs w:val="21"/>
                <w:color w:val="auto"/>
              </w:rPr>
            </w:pPr>
          </w:p>
        </w:tc>
        <w:tc>
          <w:tcPr>
            <w:tcW w:w="47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Name: Stanley J. Sutula III</w:t>
            </w:r>
          </w:p>
        </w:tc>
      </w:tr>
      <w:tr>
        <w:trPr>
          <w:trHeight w:val="234"/>
        </w:trPr>
        <w:tc>
          <w:tcPr>
            <w:tcW w:w="3020" w:type="dxa"/>
            <w:vAlign w:val="bottom"/>
          </w:tcPr>
          <w:p>
            <w:pPr>
              <w:spacing w:after="0"/>
              <w:rPr>
                <w:sz w:val="20"/>
                <w:szCs w:val="20"/>
                <w:color w:val="auto"/>
              </w:rPr>
            </w:pPr>
          </w:p>
        </w:tc>
        <w:tc>
          <w:tcPr>
            <w:tcW w:w="47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1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This Conflict Minerals Report for the year ended December 31, 2025 is presented to comply with Rule 13p-1 under the Securities Exchange Act of 1934 relating to “conflict minerals” (the “Rule”). For purposes of the Rule, “conflict minerals” are limited to cassiterite, columbite-tantalite, wolframite and gold, including their derivatives, which are limited to tin, tantalum and tungsten.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16"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7"/>
          <w:szCs w:val="17"/>
          <w:color w:val="auto"/>
        </w:rPr>
        <w:t>Colgate-Palmolive Company (the “Company”) is a caring, innovative growth company reimagining a healthier future for all people, their pets and our planet. The Company’s products are marketed in over 200 countries and territories throughout the world. As a result of the Company’s global operations, its supply chain sources materials, finished products and services globally and from a large number of suppliers. The Company does not typically source any minerals, including conflict minerals, directly from mines, smelters or refiners and is several supply chain levels removed from these market activities.</w:t>
      </w:r>
    </w:p>
    <w:p>
      <w:pPr>
        <w:spacing w:after="0" w:line="193"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The Company manufactures and markets a wide array of oral care, personal care, home care and pet nutrition products. As required by the Rule, the Company has conducted a review of its products to determine whether they contain conflict minerals that are necessary to their functionality or production. Only a small number of the Company’s products were determined to contain necessary conflict minerals. The Company determined that necessary conflict minerals were contained in components of its electric and battery toothbrushes and certain oral care devices.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Reasonable Country of Origin Inquiry</w:t>
      </w:r>
    </w:p>
    <w:p>
      <w:pPr>
        <w:spacing w:after="0" w:line="216" w:lineRule="exact"/>
        <w:rPr>
          <w:sz w:val="20"/>
          <w:szCs w:val="20"/>
          <w:color w:val="auto"/>
        </w:rPr>
      </w:pPr>
    </w:p>
    <w:p>
      <w:pPr>
        <w:ind w:right="480"/>
        <w:spacing w:after="0" w:line="346" w:lineRule="auto"/>
        <w:rPr>
          <w:sz w:val="20"/>
          <w:szCs w:val="20"/>
          <w:color w:val="auto"/>
        </w:rPr>
      </w:pPr>
      <w:r>
        <w:rPr>
          <w:rFonts w:ascii="Times New Roman" w:cs="Times New Roman" w:eastAsia="Times New Roman" w:hAnsi="Times New Roman"/>
          <w:sz w:val="17"/>
          <w:szCs w:val="17"/>
          <w:color w:val="auto"/>
        </w:rPr>
        <w:t>As required by the Rule, the Company conducted a reasonable country of origin inquiry into its supply chain to determine whether any of the conflict minerals contained in its products originated in the Democratic Republic of Congo or adjoining countries (collectively, the “Covered Countries”).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 Survey</w:t>
      </w:r>
    </w:p>
    <w:p>
      <w:pPr>
        <w:spacing w:after="0" w:line="214"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8"/>
          <w:szCs w:val="18"/>
          <w:color w:val="auto"/>
        </w:rPr>
        <w:t>The Company identified its materials and products that contain necessary conflict minerals by reviewing its reasonable country of origin inquiry survey results from the prior year, searching its product formula database and interviewing internal product ingredient experts. The Company requested that each of the suppliers of these materials and/or products complete the Conflict Minerals Reporting Template developed by the Responsible Minerals Initiative (“RMI”). Responses were reviewed for consistency and completeness, and follow-up inquiries were conducted. The results of the supplier survey were shared with members of senior management.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Survey</w:t>
      </w:r>
    </w:p>
    <w:p>
      <w:pPr>
        <w:spacing w:after="0" w:line="21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The Company received responses from 100% of the surveyed suppliers. A majority of the surveyed suppliers indicated that the smelters or refiners in their supply chains source conflict minerals from the Covered Countries. As of May 26, 2026, sixty-seven (67%) of the smelters identified by the surveyed suppliers were listed as (i) “conformant” with RMI’s Responsible Minerals Assurance Process (“RMAP”) assessment protocols (meaning they either had a currently valid audit or a re-audit in progress or, with respect to certain gold smelters, had successfully completed a cross-recognized assessment with the London Bullion Market Association (“LBMA”) and/or Responsible Jewelry Council (“RJC”)), or (ii) “active” (meaning they are participating in the RMAP by agreeing to complete the audit process). Thirty-three percent (33%) of the smelters and refiners identified by the surveyed suppliers were not listed as “conformant” or “active” by RMI; all of these smelters and refiners were provided by one supplier (“Supplier 1”) and one of these was also provided by two other suppliers. In addition, Supplier 1 and one of the two suppliers were unable to identify all of the smelters and refiners supplying conflict minerals to their supply chains, so there may be other non-identified smelters and refiners in the Company’s supply chain. Supplier 1 has publicly indicated that none of the smelters and refiners identified in its supply chain is known by Supplier 1 to be sourcing conflict minerals that directly or indirectly finance or benefit armed groups in the Covered Countries. The Company is engaging with its suppliers about the smelter(s) in their supply chains that are not listed as “conformant” or “active” by RMI. One of the Company’s other suppliers indicated that 100% of the conflict minerals necessary to the functionality or production of its products originated from recycled or scrap sources.</w:t>
      </w:r>
    </w:p>
    <w:p>
      <w:pPr>
        <w:sectPr>
          <w:pgSz w:w="11900" w:h="16838" w:orient="portrait"/>
          <w:cols w:equalWidth="0" w:num="1">
            <w:col w:w="11240"/>
          </w:cols>
          <w:pgMar w:left="320" w:top="356" w:right="339" w:bottom="1440" w:gutter="0" w:footer="0" w:header="0"/>
        </w:sectPr>
      </w:pPr>
    </w:p>
    <w:bookmarkStart w:id="4" w:name="page5"/>
    <w:bookmarkEnd w:id="4"/>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 Process</w:t>
      </w:r>
    </w:p>
    <w:p>
      <w:pPr>
        <w:spacing w:after="0" w:line="216" w:lineRule="exact"/>
        <w:rPr>
          <w:sz w:val="20"/>
          <w:szCs w:val="20"/>
          <w:color w:val="auto"/>
        </w:rPr>
      </w:pPr>
    </w:p>
    <w:p>
      <w:pPr>
        <w:jc w:val="both"/>
        <w:ind w:right="140"/>
        <w:spacing w:after="0" w:line="287" w:lineRule="auto"/>
        <w:rPr>
          <w:sz w:val="20"/>
          <w:szCs w:val="20"/>
          <w:color w:val="auto"/>
        </w:rPr>
      </w:pPr>
      <w:r>
        <w:rPr>
          <w:rFonts w:ascii="Times New Roman" w:cs="Times New Roman" w:eastAsia="Times New Roman" w:hAnsi="Times New Roman"/>
          <w:sz w:val="18"/>
          <w:szCs w:val="18"/>
          <w:color w:val="auto"/>
        </w:rPr>
        <w:t>The Company has exercised due diligence on its supply chain, with the goal of determining that the necessary conflict minerals contained in its products did not directly or indirectly finance or benefit armed groups in the Covered Countries. The Company designed its due diligence process to comply in all substantive respects to the framework set forth in the Organization for Economic Cooperation and Development Due Diligence Guidance for Responsible Supply Chains of Minerals from Conflict-Affected and High-Risk Areas (the “OECD Framework”).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performed the following due diligence steps:</w:t>
      </w:r>
    </w:p>
    <w:p>
      <w:pPr>
        <w:spacing w:after="0" w:line="208"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 strong company management systems</w:t>
      </w:r>
    </w:p>
    <w:p>
      <w:pPr>
        <w:spacing w:after="0" w:line="40" w:lineRule="exact"/>
        <w:rPr>
          <w:rFonts w:ascii="Times New Roman" w:cs="Times New Roman" w:eastAsia="Times New Roman" w:hAnsi="Times New Roman"/>
          <w:sz w:val="18"/>
          <w:szCs w:val="18"/>
          <w:b w:val="1"/>
          <w:bCs w:val="1"/>
          <w:color w:val="auto"/>
        </w:rPr>
      </w:pPr>
    </w:p>
    <w:p>
      <w:pPr>
        <w:ind w:left="980" w:right="380" w:hanging="324"/>
        <w:spacing w:after="0" w:line="276" w:lineRule="auto"/>
        <w:tabs>
          <w:tab w:leader="none" w:pos="96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adopted a conflict minerals policy, which includes information on how to contact the Company for further information and/or to report concerns. The policy is available in the “Sustainability” section of the Company’s website at https://www.colgatepalmolive.com.</w:t>
      </w:r>
    </w:p>
    <w:p>
      <w:pPr>
        <w:spacing w:after="0" w:line="1" w:lineRule="exact"/>
        <w:rPr>
          <w:rFonts w:ascii="Times New Roman" w:cs="Times New Roman" w:eastAsia="Times New Roman" w:hAnsi="Times New Roman"/>
          <w:sz w:val="18"/>
          <w:szCs w:val="18"/>
          <w:color w:val="auto"/>
        </w:rPr>
      </w:pPr>
    </w:p>
    <w:p>
      <w:pPr>
        <w:ind w:left="980" w:right="100" w:hanging="324"/>
        <w:spacing w:after="0" w:line="281" w:lineRule="auto"/>
        <w:tabs>
          <w:tab w:leader="none" w:pos="96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incorporated its conflict minerals policy into its Third Party Code of Conduct, which conveys the Company’s expectations regarding ethical conduct to third parties with whom the Company does business.</w:t>
      </w:r>
    </w:p>
    <w:p>
      <w:pPr>
        <w:spacing w:after="0" w:line="1" w:lineRule="exact"/>
        <w:rPr>
          <w:rFonts w:ascii="Times New Roman" w:cs="Times New Roman" w:eastAsia="Times New Roman" w:hAnsi="Times New Roman"/>
          <w:sz w:val="18"/>
          <w:szCs w:val="18"/>
          <w:color w:val="auto"/>
        </w:rPr>
      </w:pPr>
    </w:p>
    <w:p>
      <w:pPr>
        <w:ind w:left="980" w:right="500" w:hanging="324"/>
        <w:spacing w:after="0" w:line="273" w:lineRule="auto"/>
        <w:tabs>
          <w:tab w:leader="none" w:pos="96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 team of employees from its procurement, legal and sustainability functions to design and implement its conflict minerals compliance efforts with senior executive level support and oversight.</w:t>
      </w:r>
    </w:p>
    <w:p>
      <w:pPr>
        <w:spacing w:after="0" w:line="1" w:lineRule="exact"/>
        <w:rPr>
          <w:rFonts w:ascii="Times New Roman" w:cs="Times New Roman" w:eastAsia="Times New Roman" w:hAnsi="Times New Roman"/>
          <w:sz w:val="18"/>
          <w:szCs w:val="18"/>
          <w:color w:val="auto"/>
        </w:rPr>
      </w:pPr>
    </w:p>
    <w:p>
      <w:pPr>
        <w:ind w:left="980" w:right="480" w:hanging="324"/>
        <w:spacing w:after="0" w:line="276" w:lineRule="auto"/>
        <w:tabs>
          <w:tab w:leader="none" w:pos="96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background information and training on the Rule to employees involved in its conflict minerals compliance efforts.</w:t>
      </w:r>
    </w:p>
    <w:p>
      <w:pPr>
        <w:spacing w:after="0" w:line="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requested relevant suppliers to identify the smelters and refiners of the conflict minerals in their materials or products.</w:t>
      </w:r>
    </w:p>
    <w:p>
      <w:pPr>
        <w:spacing w:after="0" w:line="27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Identify and assess risks in the supply chain</w:t>
      </w:r>
    </w:p>
    <w:p>
      <w:pPr>
        <w:spacing w:after="0" w:line="40" w:lineRule="exact"/>
        <w:rPr>
          <w:rFonts w:ascii="Times New Roman" w:cs="Times New Roman" w:eastAsia="Times New Roman" w:hAnsi="Times New Roman"/>
          <w:sz w:val="18"/>
          <w:szCs w:val="18"/>
          <w:b w:val="1"/>
          <w:bCs w:val="1"/>
          <w:color w:val="auto"/>
        </w:rPr>
      </w:pPr>
    </w:p>
    <w:p>
      <w:pPr>
        <w:ind w:left="980" w:right="220" w:hanging="324"/>
        <w:spacing w:after="0" w:line="276" w:lineRule="auto"/>
        <w:tabs>
          <w:tab w:leader="none" w:pos="96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above under “Reasonable Country of Origin Inquiry,” in order to determine the mine or location of origin of the conflict minerals in the Company’s supply chain with the greatest possible specificity, the Company requested its relevant suppliers to complete the Conflict Minerals Reporting Template developed by RMI.</w:t>
      </w:r>
    </w:p>
    <w:p>
      <w:pPr>
        <w:spacing w:after="0" w:line="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reviewed the supplier responses for inconsistent and/or incomplete responses that might indicate a potential risk.</w:t>
      </w:r>
    </w:p>
    <w:p>
      <w:pPr>
        <w:spacing w:after="0" w:line="36" w:lineRule="exact"/>
        <w:rPr>
          <w:rFonts w:ascii="Times New Roman" w:cs="Times New Roman" w:eastAsia="Times New Roman" w:hAnsi="Times New Roman"/>
          <w:sz w:val="18"/>
          <w:szCs w:val="18"/>
          <w:color w:val="auto"/>
        </w:rPr>
      </w:pPr>
    </w:p>
    <w:p>
      <w:pPr>
        <w:ind w:left="980" w:right="160" w:hanging="324"/>
        <w:spacing w:after="0" w:line="297" w:lineRule="auto"/>
        <w:tabs>
          <w:tab w:leader="none" w:pos="96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compared the smelters and refiners identified by its suppliers against the RMAP’s lists of conformant and active smelters and refiners.</w:t>
      </w:r>
    </w:p>
    <w:p>
      <w:pPr>
        <w:spacing w:after="0" w:line="19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 and implement a strategy to respond to identified risks</w:t>
      </w:r>
    </w:p>
    <w:p>
      <w:pPr>
        <w:spacing w:after="0" w:line="21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implemented a risk management plan designed to identify, monitor and mitigate identified risks. Elements of the plan included:</w:t>
      </w:r>
    </w:p>
    <w:p>
      <w:pPr>
        <w:spacing w:after="0" w:line="211" w:lineRule="exact"/>
        <w:rPr>
          <w:rFonts w:ascii="Times New Roman" w:cs="Times New Roman" w:eastAsia="Times New Roman" w:hAnsi="Times New Roman"/>
          <w:sz w:val="18"/>
          <w:szCs w:val="18"/>
          <w:b w:val="1"/>
          <w:bCs w:val="1"/>
          <w:color w:val="auto"/>
        </w:rPr>
      </w:pPr>
    </w:p>
    <w:p>
      <w:pPr>
        <w:ind w:left="960" w:hanging="30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informing relevant suppliers, including new suppliers during the onboarding process, about the Company’s conflict minerals policy;</w:t>
      </w:r>
    </w:p>
    <w:p>
      <w:pPr>
        <w:spacing w:after="0" w:line="36" w:lineRule="exact"/>
        <w:rPr>
          <w:rFonts w:ascii="Times New Roman" w:cs="Times New Roman" w:eastAsia="Times New Roman" w:hAnsi="Times New Roman"/>
          <w:sz w:val="18"/>
          <w:szCs w:val="18"/>
          <w:color w:val="auto"/>
        </w:rPr>
      </w:pPr>
    </w:p>
    <w:p>
      <w:pPr>
        <w:ind w:left="980" w:hanging="324"/>
        <w:spacing w:after="0" w:line="276" w:lineRule="auto"/>
        <w:tabs>
          <w:tab w:leader="none" w:pos="96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corrective action follow-up notices to suppliers who provided incomplete and/or inconsistent responses to the Company’s information requests;</w:t>
      </w:r>
    </w:p>
    <w:p>
      <w:pPr>
        <w:spacing w:after="0" w:line="1" w:lineRule="exact"/>
        <w:rPr>
          <w:rFonts w:ascii="Times New Roman" w:cs="Times New Roman" w:eastAsia="Times New Roman" w:hAnsi="Times New Roman"/>
          <w:sz w:val="18"/>
          <w:szCs w:val="18"/>
          <w:color w:val="auto"/>
        </w:rPr>
      </w:pPr>
    </w:p>
    <w:p>
      <w:pPr>
        <w:ind w:left="980" w:right="380" w:hanging="324"/>
        <w:spacing w:after="0" w:line="278" w:lineRule="auto"/>
        <w:tabs>
          <w:tab w:leader="none" w:pos="96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suppliers who provided inconsistent or incomplete responses to improve their due diligence practices in accordance with the Company’s conflict minerals policy; and</w:t>
      </w:r>
    </w:p>
    <w:p>
      <w:pPr>
        <w:spacing w:after="0" w:line="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updates to senior management in the finance, supply chain and legal functions.</w:t>
      </w:r>
    </w:p>
    <w:p>
      <w:pPr>
        <w:spacing w:after="0" w:line="200" w:lineRule="exact"/>
        <w:rPr>
          <w:rFonts w:ascii="Times New Roman" w:cs="Times New Roman" w:eastAsia="Times New Roman" w:hAnsi="Times New Roman"/>
          <w:sz w:val="18"/>
          <w:szCs w:val="18"/>
          <w:color w:val="auto"/>
        </w:rPr>
      </w:pPr>
    </w:p>
    <w:p>
      <w:pPr>
        <w:spacing w:after="0" w:line="31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Carry out independent third-party audit of supply chain due diligence at identified points in the supply chain</w:t>
      </w:r>
    </w:p>
    <w:p>
      <w:pPr>
        <w:spacing w:after="0" w:line="215" w:lineRule="exact"/>
        <w:rPr>
          <w:rFonts w:ascii="Times New Roman" w:cs="Times New Roman" w:eastAsia="Times New Roman" w:hAnsi="Times New Roman"/>
          <w:sz w:val="18"/>
          <w:szCs w:val="18"/>
          <w:b w:val="1"/>
          <w:bCs w:val="1"/>
          <w:color w:val="auto"/>
        </w:rPr>
      </w:pPr>
    </w:p>
    <w:p>
      <w:pPr>
        <w:jc w:val="both"/>
        <w:ind w:left="660" w:right="1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does not conduct audits of smelters or refiners. The Company relies on the RMAP to audit smelters and refiners that may be in the Company’s supply chain. If a surveyed supplier identifies a smelter that is not listed as conformant or active with RMAP’s assessment protocols, the Company follows up with the supplier for additional information and further action.</w:t>
      </w:r>
    </w:p>
    <w:p>
      <w:pPr>
        <w:sectPr>
          <w:pgSz w:w="11900" w:h="16838" w:orient="portrait"/>
          <w:cols w:equalWidth="0" w:num="1">
            <w:col w:w="11220"/>
          </w:cols>
          <w:pgMar w:left="320" w:top="1440" w:right="359" w:bottom="1440" w:gutter="0" w:footer="0" w:header="0"/>
        </w:sectPr>
      </w:pPr>
    </w:p>
    <w:bookmarkStart w:id="5" w:name="page6"/>
    <w:bookmarkEnd w:id="5"/>
    <w:p>
      <w:pPr>
        <w:ind w:left="640" w:hanging="308"/>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 on supply chain due diligence</w:t>
      </w:r>
    </w:p>
    <w:p>
      <w:pPr>
        <w:spacing w:after="0" w:line="215" w:lineRule="exact"/>
        <w:rPr>
          <w:rFonts w:ascii="Times New Roman" w:cs="Times New Roman" w:eastAsia="Times New Roman" w:hAnsi="Times New Roman"/>
          <w:sz w:val="18"/>
          <w:szCs w:val="18"/>
          <w:b w:val="1"/>
          <w:bCs w:val="1"/>
          <w:color w:val="auto"/>
        </w:rPr>
      </w:pPr>
    </w:p>
    <w:p>
      <w:pPr>
        <w:ind w:left="660" w:right="40"/>
        <w:spacing w:after="0" w:line="28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Conflict Minerals Report and the Company’s Specialized Disclosure Report (Form SD) are available in the “Investors” section of the Company’s website at https://www.colgatepalmolive.com. The reference to the Company’s website is provided for convenience only, and its contents are not incorporated by reference into this Conflict Minerals Report nor deemed filed with the U.S. Securities and Exchange Commission (the “SEC”).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Smelters and Refiners</w:t>
      </w:r>
    </w:p>
    <w:p>
      <w:pPr>
        <w:spacing w:after="0" w:line="216"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8"/>
          <w:szCs w:val="18"/>
          <w:color w:val="auto"/>
        </w:rPr>
        <w:t>Attached as an Annex to this Conflict Minerals Report is an aggregated list of the smelters and refiners reported to the Company by its suppliers of conflict minerals. Some of the suppliers that provided this information did so on a company or division level, and not in relation to specific products. Therefore, the Company is unable to determine whether many of these smelters and refiners are actually in the Company’s supply chain. In addition, as noted above, because two of the surveyed suppliers were unable to identify all of the smelters and refiners in their supply chains, there may be other non-identified smelters or refiners in the Company’s supply chain.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Ongoing Risk Mitigation Efforts</w:t>
      </w:r>
    </w:p>
    <w:p>
      <w:pPr>
        <w:spacing w:after="0" w:line="216"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The Company has implemented an ongoing risk mitigation plan that is intended to strengthen its supply chain due diligence capability and traceability with respect to conflict minerals and reduce the risk that the sourcing of any conflict minerals benefits armed groups in the Covered Countries. The Company’s ongoing risk mitigation efforts include:</w:t>
      </w:r>
    </w:p>
    <w:p>
      <w:pPr>
        <w:spacing w:after="0" w:line="136" w:lineRule="exact"/>
        <w:rPr>
          <w:sz w:val="20"/>
          <w:szCs w:val="20"/>
          <w:color w:val="auto"/>
        </w:rPr>
      </w:pPr>
    </w:p>
    <w:p>
      <w:pPr>
        <w:ind w:left="980" w:right="60" w:hanging="324"/>
        <w:spacing w:after="0" w:line="273" w:lineRule="auto"/>
        <w:tabs>
          <w:tab w:leader="none" w:pos="9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incorporate supplier contract language and/or terms and conditions that require relevant suppliers to cooperate with the Company’s conflict minerals compliance efforts;</w:t>
      </w:r>
    </w:p>
    <w:p>
      <w:pPr>
        <w:spacing w:after="0" w:line="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engage with the Company’s suppliers, including new suppliers, to develop and enhance their due diligence processes; and</w:t>
      </w:r>
    </w:p>
    <w:p>
      <w:pPr>
        <w:spacing w:after="0" w:line="3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sharing the Company’s conflict minerals policy with suppliers.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on Forward-Looking Statements</w:t>
      </w:r>
    </w:p>
    <w:p>
      <w:pPr>
        <w:spacing w:after="0" w:line="21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This Conflict Minerals Report, including the description of the Company’s ongoing risk mitigation efforts, contains forward-looking statements (as such term is defined in the Private Securities Litigation Reform Act of 1995 or by the SEC in its rules, regulations and releases). These statements are made on the basis of the Company’s views and expectations as of this time and the Company undertakes no obligation to update these statements whether as a result of new information, future events or otherwise, except as required by law or by the rules and regulations of the SEC. The Company cautions investors that such forward-looking statements are not guarantees of future performance and that actual events or results may differ materially from those statements due to factors such as the implementation of satisfactory traceability and other compliance measures by the Company’s direct and indirect suppliers on a timely basis or at all, whether smelters and refiners and other market participants responsibly source conflict minerals, internal and external resource restraints, and political and regulatory developments, whether in the Covered Countries, the United States or elsewhere. For a description of certain factors that could cause the Company’s future events or results to differ materially from those expressed in any forward-looking statement, please refer to the Company’s filings with the SEC, including, without limitation, information under captions “Risk Factors” and “Cautionary Statement on Forward-Looking Statements” included in the Company’s Annual Report on Form 10-K for the fiscal year ended December 31, 2025 and subsequent filings with the SEC.</w:t>
      </w:r>
    </w:p>
    <w:p>
      <w:pPr>
        <w:sectPr>
          <w:pgSz w:w="11900" w:h="16838" w:orient="portrait"/>
          <w:cols w:equalWidth="0" w:num="1">
            <w:col w:w="11240"/>
          </w:cols>
          <w:pgMar w:left="320" w:top="1400"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Annex</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Smelters</w:t>
      </w:r>
    </w:p>
    <w:p>
      <w:pPr>
        <w:spacing w:after="0" w:line="200" w:lineRule="exact"/>
        <w:rPr>
          <w:sz w:val="20"/>
          <w:szCs w:val="20"/>
          <w:color w:val="auto"/>
        </w:rPr>
      </w:pP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80" w:type="dxa"/>
            <w:vAlign w:val="bottom"/>
            <w:tcBorders>
              <w:top w:val="single" w:sz="8" w:color="CCCCCC"/>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16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64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218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Smelter Location</w:t>
            </w:r>
          </w:p>
        </w:tc>
        <w:tc>
          <w:tcPr>
            <w:tcW w:w="180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Status</w:t>
            </w:r>
            <w:r>
              <w:rPr>
                <w:rFonts w:ascii="Times New Roman" w:cs="Times New Roman" w:eastAsia="Times New Roman" w:hAnsi="Times New Roman"/>
                <w:sz w:val="10"/>
                <w:szCs w:val="10"/>
                <w:b w:val="1"/>
                <w:bCs w:val="1"/>
                <w:color w:val="auto"/>
              </w:rPr>
              <w:t>(1)</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CID000004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A.L.M.T. Corp.</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CID000015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CID000019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CID000035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Agosi AG</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CID000041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Almalyk Mining and Metallurgical Complex (AMMC)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Uzbekistan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CID000058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AngloGold Ashanti Corrego do Sitio Mineracao</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CID000077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Argor-Heraeus S.A.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CID000082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Asahi Pretec Corp.</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CID000090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Asaka Riken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CID000103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Atasay Kuyumculuk Sanayi Ve Ticaret A.S.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Turkey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CID000105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Kennametal Huntsville</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CID000113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Aurubis AG</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CID000128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CID000157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Boliden AB</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Sweden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CID000176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 Hafner GmbH + Co. KG</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CID000180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Caridad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CID000185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CCR Refinery - Glencore Canada Corporation</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CID000189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Cendres + Metaux S.A.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CID000197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Yunnan Copper Industry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CID000211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Changsha South Tantalum Niobium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CID000218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Guangdong Xianglu Tungsten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CID000228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Chenzhou Yunxiang Mining and Metallurgy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CID000233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Chimet S.p.A.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Italy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CID000258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Chongyi Zhangyuan Tungsten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CID000264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Chugai Mining</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bl>
    <w:p>
      <w:pPr>
        <w:sectPr>
          <w:pgSz w:w="11900" w:h="16838" w:orient="portrait"/>
          <w:cols w:equalWidth="0" w:num="1">
            <w:col w:w="11260"/>
          </w:cols>
          <w:pgMar w:left="320" w:top="1386" w:right="3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80" w:type="dxa"/>
            <w:vAlign w:val="bottom"/>
            <w:tcBorders>
              <w:top w:val="single" w:sz="8" w:color="CCCCCC"/>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CID000281</w:t>
            </w:r>
          </w:p>
        </w:tc>
        <w:tc>
          <w:tcPr>
            <w:tcW w:w="116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CNMC (Guangxi) PGMA Co., Ltd.</w:t>
            </w:r>
          </w:p>
        </w:tc>
        <w:tc>
          <w:tcPr>
            <w:tcW w:w="218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CID000291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Guangdong Rising Rare Metals-EO Materials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CID000292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Alpha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CID000309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PT Aries Kencana Sejahtera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CID000313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PT Premium Tin Indonesia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CID000343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Daye Non-Ferrous Metals Mining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CID000359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DSC (Do Sung Corporation)</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Korea, Republic of</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CID000377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CID000401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Dowa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CID000402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Dowa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CID000425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Eco-System Recycling Co., Ltd. East Plant</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CID000438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EM Vinto</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Bolivia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CID000448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Estanho de Rondonia S.A.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CID000460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CID000468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Fenix Metals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Poland</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CID000522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Refinery of Seemine Gold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CID000538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Gejiu Non-Ferrous Metal Processing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CID000555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Gejiu Zili Mining And Metallurgy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CID000568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Tungsten &amp; Powders Corp.</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CID000616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CID000671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Hangzhou Fuchunjiang Smelting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CID000689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LT Metal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Korea, Republic of</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CID000694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Heimerle + Meule GmbH</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CID000707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Heraeus Metals Hong Kong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CID000711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CID000767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Hunan Chenzhou Mining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CID000769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Hunan Jintai New Material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CID000773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Hunan Guiyang Yinxing nonferrous Smelting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CID000778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HwaSeong CJ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Korea, Republic of</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260"/>
          </w:cols>
          <w:pgMar w:left="320" w:top="1415" w:right="3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480" w:type="dxa"/>
            <w:vAlign w:val="bottom"/>
            <w:tcBorders>
              <w:top w:val="single" w:sz="8" w:color="CCCCCC"/>
              <w:left w:val="single" w:sz="8" w:color="CCCCCC"/>
              <w:right w:val="single" w:sz="8" w:color="CCCCCC"/>
            </w:tcBorders>
          </w:tcPr>
          <w:p>
            <w:pPr>
              <w:spacing w:after="0"/>
              <w:rPr>
                <w:sz w:val="16"/>
                <w:szCs w:val="16"/>
                <w:color w:val="auto"/>
              </w:rPr>
            </w:pPr>
          </w:p>
        </w:tc>
        <w:tc>
          <w:tcPr>
            <w:tcW w:w="1160" w:type="dxa"/>
            <w:vAlign w:val="bottom"/>
            <w:tcBorders>
              <w:top w:val="single" w:sz="8" w:color="CCCCCC"/>
              <w:right w:val="single" w:sz="8" w:color="CCCCCC"/>
            </w:tcBorders>
          </w:tcPr>
          <w:p>
            <w:pPr>
              <w:spacing w:after="0"/>
              <w:rPr>
                <w:sz w:val="16"/>
                <w:szCs w:val="16"/>
                <w:color w:val="auto"/>
              </w:rPr>
            </w:pPr>
          </w:p>
        </w:tc>
        <w:tc>
          <w:tcPr>
            <w:tcW w:w="4640" w:type="dxa"/>
            <w:vAlign w:val="bottom"/>
            <w:tcBorders>
              <w:top w:val="single" w:sz="8" w:color="CCCCCC"/>
              <w:right w:val="single" w:sz="8" w:color="CCCCCC"/>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Inner Mongolia Qiankun Gold and Silver Refinery Share Co.,</w:t>
            </w:r>
          </w:p>
        </w:tc>
        <w:tc>
          <w:tcPr>
            <w:tcW w:w="2180" w:type="dxa"/>
            <w:vAlign w:val="bottom"/>
            <w:tcBorders>
              <w:top w:val="single" w:sz="8" w:color="CCCCCC"/>
              <w:right w:val="single" w:sz="8" w:color="CCCCCC"/>
            </w:tcBorders>
          </w:tcPr>
          <w:p>
            <w:pPr>
              <w:spacing w:after="0"/>
              <w:rPr>
                <w:sz w:val="16"/>
                <w:szCs w:val="16"/>
                <w:color w:val="auto"/>
              </w:rPr>
            </w:pPr>
          </w:p>
        </w:tc>
        <w:tc>
          <w:tcPr>
            <w:tcW w:w="1800" w:type="dxa"/>
            <w:vAlign w:val="bottom"/>
            <w:tcBorders>
              <w:top w:val="single" w:sz="8" w:color="CCCCCC"/>
              <w:right w:val="single" w:sz="8" w:color="CCCCCC"/>
            </w:tcBorders>
          </w:tcPr>
          <w:p>
            <w:pPr>
              <w:spacing w:after="0"/>
              <w:rPr>
                <w:sz w:val="16"/>
                <w:szCs w:val="16"/>
                <w:color w:val="auto"/>
              </w:rPr>
            </w:pPr>
          </w:p>
        </w:tc>
      </w:tr>
      <w:tr>
        <w:trPr>
          <w:trHeight w:val="24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CID000801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CID000807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Ishifuku Metal Industry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CID000814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Istanbul Gold Refinery</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Turkey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CID000823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Japan Mint</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CID000825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Japan New Metals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CID000855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Jiangxi Copper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CID000914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JiuJiang JinXin Nonferrous Metals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CID000917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Jiujiang Tanbre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CID000920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Asahi Refining USA Inc.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CID000924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Asahi Refining Canada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CID000937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CID000942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CID000956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Kazakhmys Smelting LLC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CID000957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Kazzinc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CID000966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Kennametal Fallon</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CID000969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CID000981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Kojima Chemicals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CID001029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Kyrgyzaltyn JSC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Kyrgyzstan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CID001032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L'azurde Company For Jewelry</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Saudi Arabia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CID001056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Lingbao Gold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CID001070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China Tin Group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CID001076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AMG Brasil</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CID001078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LS-NIKKO Copper Inc.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Korea, Republic of</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CID001093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Luoyang Zijin Yinhui Gold Refinery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CID001113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Materion</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CID001119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Matsuda Sangyo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CID001142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Metallic Resources, Inc.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CID001147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Metalor Technologies (Suzhou)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CID001149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Metalor Technologies (Hong Kong)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bl>
    <w:p>
      <w:pPr>
        <w:sectPr>
          <w:pgSz w:w="11900" w:h="16838" w:orient="portrait"/>
          <w:cols w:equalWidth="0" w:num="1">
            <w:col w:w="11260"/>
          </w:cols>
          <w:pgMar w:left="320" w:top="1415" w:right="3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80" w:type="dxa"/>
            <w:vAlign w:val="bottom"/>
            <w:tcBorders>
              <w:top w:val="single" w:sz="8" w:color="CCCCCC"/>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CID001152</w:t>
            </w:r>
          </w:p>
        </w:tc>
        <w:tc>
          <w:tcPr>
            <w:tcW w:w="116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Metalor Technologies (Singapore) Pte., Ltd.</w:t>
            </w:r>
          </w:p>
        </w:tc>
        <w:tc>
          <w:tcPr>
            <w:tcW w:w="218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180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CID001153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Metalor Technologies S.A.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CID001157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CID001161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Metalurgica Met-Mex Penoles S.A. De C.V.</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CID001163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CID001173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Mineracao Taboca S.A.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CID001175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Mineracao Taboca S.A.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CID001182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Minsur</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Peru</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CID001188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CID001191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CID001192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CID001193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CID001200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NPM Silmet AS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Estonia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CID001220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Nadir Metal Rafineri San. Ve Tic. A.S.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Turkey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CID001231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Jiangxi New Nanshan Technology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CID001236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Uzbekistan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CID001259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Nihon Material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CID001277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Ningxia Orient Tantalum Industry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CID001314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O.M. Manufacturing (Thailand)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CID001325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Ohura Precious Metal Industry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CID001337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Bolivia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CID001352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MKS PAMP SA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CID001362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Penglai Penggang Gold Industry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CID001397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PT Aneka Tambang (Persero) Tbk</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CID001399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PT Artha Cipta Langgeng</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CID001453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PT Mitra Stania Prima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CID001458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PT Prima Timah Utama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CID001477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PT Timah Tbk Kundur</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CID001482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PT Timah Tbk Mentok</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CID001498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PX Precinox S.A.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bl>
    <w:p>
      <w:pPr>
        <w:sectPr>
          <w:pgSz w:w="11900" w:h="16838" w:orient="portrait"/>
          <w:cols w:equalWidth="0" w:num="1">
            <w:col w:w="11260"/>
          </w:cols>
          <w:pgMar w:left="320" w:top="1415" w:right="3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80" w:type="dxa"/>
            <w:vAlign w:val="bottom"/>
            <w:tcBorders>
              <w:top w:val="single" w:sz="8" w:color="CCCCCC"/>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CID001512</w:t>
            </w:r>
          </w:p>
        </w:tc>
        <w:tc>
          <w:tcPr>
            <w:tcW w:w="116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Rand Refinery (Pty) Ltd.</w:t>
            </w:r>
          </w:p>
        </w:tc>
        <w:tc>
          <w:tcPr>
            <w:tcW w:w="218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80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CID001522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Yanling Jincheng Tantalum &amp; Niobium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CID001534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Royal Canadian Mint</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CID001539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Rui Da Hung</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CID001546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Sabin Metal Corp.</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CID001555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Samduck Precious Metals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Korea, Republic of</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CID001562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Samwon Metals Corp.</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Korea, Republic of</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CID001585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SEMPSA Joyeria Plateria S.A.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CID001619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Shandong Tiancheng Biological Gold Industrial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CID001622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Shandong Zhaojin Gold &amp; Silver Refinery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CID001736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Sichuan Tianze Precious Metals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CID001761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Solar Applied Materials Technology Corp.</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CID001798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Sumitomo Metal Mining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CID001810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Super Dragon Technology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CID001869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Taki Chemical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CID001875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Tanaka Kikinzoku Kogyo K.K.</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CID001891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Telex Metals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CID001898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Thaisarco</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CID001908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Gejiu Yunxin Nonferrous Electrolysis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CID001909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Great Wall Precious Metals Co., Ltd. of CBPM</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CID001916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Shandong Gold Smelting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CID001938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Tokuriki Honten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CID001947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Tongling Nonferrous Metals Group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CID001955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Torecom</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Korea, Republic of</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CID001969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Ulba Metallurgical Plant JSC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CID001980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Umicore S.A. Business Unit Precious Metals Refining</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CID001993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Precious Metal Refining, Inc.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CID002003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Valcambi S.A.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CID002015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VQB Mineral and Trading Group JSC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CID002030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Western Australian Mint (T/a The Perth Mint)</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bl>
    <w:p>
      <w:pPr>
        <w:sectPr>
          <w:pgSz w:w="11900" w:h="16838" w:orient="portrait"/>
          <w:cols w:equalWidth="0" w:num="1">
            <w:col w:w="11260"/>
          </w:cols>
          <w:pgMar w:left="320" w:top="1416" w:right="3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80" w:type="dxa"/>
            <w:vAlign w:val="bottom"/>
            <w:tcBorders>
              <w:top w:val="single" w:sz="8" w:color="CCCCCC"/>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CID002036</w:t>
            </w:r>
          </w:p>
        </w:tc>
        <w:tc>
          <w:tcPr>
            <w:tcW w:w="116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White Solder Metalurgia e Mineracao Ltda.</w:t>
            </w:r>
          </w:p>
        </w:tc>
        <w:tc>
          <w:tcPr>
            <w:tcW w:w="218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CID002044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Wolfram Bergbau und Hutten AG</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Austria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CID002082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Xiamen Tungsten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CID002100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Yamakin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CID002129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Yokohama Metal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CID002158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Yunnan Chengfeng Non-Ferrous metal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CID002180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Tin Smelting Branch of Yunnan Tin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CID002224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CID002243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 Refinery of Zijin Mining Group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CID002282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Morris and Watson</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New Zealand</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CID002290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SAFINA A.S.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Czechia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CID002313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Jiangxi Minmetals Gao'an Non-ferrous Metals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CID002314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Umicore Precious Metals Thailand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CID002315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Ganzhou Jiangwu Ferrotungsten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CID002316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Jiangxi Yaosheng Tungsten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CID002317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Jiangxi Xinsheng Tungsten Industry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169"/>
        </w:trPr>
        <w:tc>
          <w:tcPr>
            <w:tcW w:w="1480" w:type="dxa"/>
            <w:vAlign w:val="bottom"/>
            <w:tcBorders>
              <w:left w:val="single" w:sz="8" w:color="CCCCCC"/>
              <w:right w:val="single" w:sz="8" w:color="CCCCCC"/>
            </w:tcBorders>
          </w:tcPr>
          <w:p>
            <w:pPr>
              <w:spacing w:after="0"/>
              <w:rPr>
                <w:sz w:val="14"/>
                <w:szCs w:val="14"/>
                <w:color w:val="auto"/>
              </w:rPr>
            </w:pPr>
          </w:p>
        </w:tc>
        <w:tc>
          <w:tcPr>
            <w:tcW w:w="1160" w:type="dxa"/>
            <w:vAlign w:val="bottom"/>
            <w:tcBorders>
              <w:right w:val="single" w:sz="8" w:color="CCCCCC"/>
            </w:tcBorders>
          </w:tcPr>
          <w:p>
            <w:pPr>
              <w:spacing w:after="0"/>
              <w:rPr>
                <w:sz w:val="14"/>
                <w:szCs w:val="14"/>
                <w:color w:val="auto"/>
              </w:rPr>
            </w:pPr>
          </w:p>
        </w:tc>
        <w:tc>
          <w:tcPr>
            <w:tcW w:w="4640" w:type="dxa"/>
            <w:vAlign w:val="bottom"/>
            <w:tcBorders>
              <w:right w:val="single" w:sz="8" w:color="CCCCCC"/>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Jiangxi Tonggu Non-ferrous Metallurgical &amp; Chemical Co.,</w:t>
            </w:r>
          </w:p>
        </w:tc>
        <w:tc>
          <w:tcPr>
            <w:tcW w:w="2180" w:type="dxa"/>
            <w:vAlign w:val="bottom"/>
            <w:tcBorders>
              <w:right w:val="single" w:sz="8" w:color="CCCCCC"/>
            </w:tcBorders>
          </w:tcPr>
          <w:p>
            <w:pPr>
              <w:spacing w:after="0"/>
              <w:rPr>
                <w:sz w:val="14"/>
                <w:szCs w:val="14"/>
                <w:color w:val="auto"/>
              </w:rPr>
            </w:pPr>
          </w:p>
        </w:tc>
        <w:tc>
          <w:tcPr>
            <w:tcW w:w="1800" w:type="dxa"/>
            <w:vAlign w:val="bottom"/>
            <w:tcBorders>
              <w:right w:val="single" w:sz="8" w:color="CCCCCC"/>
            </w:tcBorders>
          </w:tcPr>
          <w:p>
            <w:pPr>
              <w:spacing w:after="0"/>
              <w:rPr>
                <w:sz w:val="14"/>
                <w:szCs w:val="14"/>
                <w:color w:val="auto"/>
              </w:rPr>
            </w:pPr>
          </w:p>
        </w:tc>
      </w:tr>
      <w:tr>
        <w:trPr>
          <w:trHeight w:val="24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CID002318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CID002319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Malipo Haiyu Tungsten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CID002320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Xiamen Tungsten (H.C.)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CID002321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Jiangxi Gan Bei Tungsten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CID002468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Magnu's Minerais Metais e Ligas Ltda.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CID002492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Hengyang King Xing Lifeng New Materials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CID002494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Ganzhou Seadragon W &amp; Mo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CID002500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Melt Metais e Ligas S.A.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CID002502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Asia Tungsten Products Vietnam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CID002503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PT ATD Makmur Mandiri Jaya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CID002504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D Block Metals, LLC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CID002505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CID002506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Jiujiang Zhongao Tantalum &amp; Niobium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bl>
    <w:p>
      <w:pPr>
        <w:sectPr>
          <w:pgSz w:w="11900" w:h="16838" w:orient="portrait"/>
          <w:cols w:equalWidth="0" w:num="1">
            <w:col w:w="11260"/>
          </w:cols>
          <w:pgMar w:left="320" w:top="1416" w:right="3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80" w:type="dxa"/>
            <w:vAlign w:val="bottom"/>
            <w:tcBorders>
              <w:top w:val="single" w:sz="8" w:color="CCCCCC"/>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CID002508</w:t>
            </w:r>
          </w:p>
        </w:tc>
        <w:tc>
          <w:tcPr>
            <w:tcW w:w="116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218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CID002509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MMTC-PAMP India Pvt.,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CID002511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KGHM Polska Miedz Spolka Akcyjna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Poland</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CID002512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Jiangxi Dinghai Tantalum &amp; Niobium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169"/>
        </w:trPr>
        <w:tc>
          <w:tcPr>
            <w:tcW w:w="1480" w:type="dxa"/>
            <w:vAlign w:val="bottom"/>
            <w:tcBorders>
              <w:left w:val="single" w:sz="8" w:color="CCCCCC"/>
              <w:right w:val="single" w:sz="8" w:color="CCCCCC"/>
            </w:tcBorders>
          </w:tcPr>
          <w:p>
            <w:pPr>
              <w:spacing w:after="0"/>
              <w:rPr>
                <w:sz w:val="14"/>
                <w:szCs w:val="14"/>
                <w:color w:val="auto"/>
              </w:rPr>
            </w:pPr>
          </w:p>
        </w:tc>
        <w:tc>
          <w:tcPr>
            <w:tcW w:w="1160" w:type="dxa"/>
            <w:vAlign w:val="bottom"/>
            <w:tcBorders>
              <w:right w:val="single" w:sz="8" w:color="CCCCCC"/>
            </w:tcBorders>
          </w:tcPr>
          <w:p>
            <w:pPr>
              <w:spacing w:after="0"/>
              <w:rPr>
                <w:sz w:val="14"/>
                <w:szCs w:val="14"/>
                <w:color w:val="auto"/>
              </w:rPr>
            </w:pPr>
          </w:p>
        </w:tc>
        <w:tc>
          <w:tcPr>
            <w:tcW w:w="4640" w:type="dxa"/>
            <w:vAlign w:val="bottom"/>
            <w:tcBorders>
              <w:right w:val="single" w:sz="8" w:color="CCCCCC"/>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Hunan Shizhuyuan Nonferrous Metals Co., Ltd. Chenzhou</w:t>
            </w:r>
          </w:p>
        </w:tc>
        <w:tc>
          <w:tcPr>
            <w:tcW w:w="2180" w:type="dxa"/>
            <w:vAlign w:val="bottom"/>
            <w:tcBorders>
              <w:right w:val="single" w:sz="8" w:color="CCCCCC"/>
            </w:tcBorders>
          </w:tcPr>
          <w:p>
            <w:pPr>
              <w:spacing w:after="0"/>
              <w:rPr>
                <w:sz w:val="14"/>
                <w:szCs w:val="14"/>
                <w:color w:val="auto"/>
              </w:rPr>
            </w:pPr>
          </w:p>
        </w:tc>
        <w:tc>
          <w:tcPr>
            <w:tcW w:w="1800" w:type="dxa"/>
            <w:vAlign w:val="bottom"/>
            <w:tcBorders>
              <w:right w:val="single" w:sz="8" w:color="CCCCCC"/>
            </w:tcBorders>
          </w:tcPr>
          <w:p>
            <w:pPr>
              <w:spacing w:after="0"/>
              <w:rPr>
                <w:sz w:val="14"/>
                <w:szCs w:val="14"/>
                <w:color w:val="auto"/>
              </w:rPr>
            </w:pPr>
          </w:p>
        </w:tc>
      </w:tr>
      <w:tr>
        <w:trPr>
          <w:trHeight w:val="24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CID002513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Tungsten Products Branch</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CID002516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Singway Technology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CID002517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O.M. Manufacturing Philippines, Inc.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CID002525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Shangdong Humon Smelting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CID002527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Shenzhen Zhonghenglong Real Industry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CID002539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KEMET de Mexico</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CID002541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H.C. Starck Tungsten GmbH</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CID002542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TANIOBIS Smelting GmbH &amp; Co. KG</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CID002543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Masan High-Tech Materials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CID002544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TANIOBIS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CID002545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TANIOBIS GmbH</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CID002548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Materion Newton Inc.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CID002549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TANIOBIS Japan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CID002550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TANIOBIS Smelting GmbH &amp; Co. KG</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CID002551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Jiangwu H.C. Starck Tungsten Products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CID002557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CID002558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Advanced Metals Aizu</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CID002560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Al Etihad Gold Refinery DMCC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CID002561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Emirates Gold DMCC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CID002562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International Precious Metal Refiners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CID002570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CV Ayi Jaya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169"/>
        </w:trPr>
        <w:tc>
          <w:tcPr>
            <w:tcW w:w="1480" w:type="dxa"/>
            <w:vAlign w:val="bottom"/>
            <w:tcBorders>
              <w:left w:val="single" w:sz="8" w:color="CCCCCC"/>
              <w:right w:val="single" w:sz="8" w:color="CCCCCC"/>
            </w:tcBorders>
          </w:tcPr>
          <w:p>
            <w:pPr>
              <w:spacing w:after="0"/>
              <w:rPr>
                <w:sz w:val="14"/>
                <w:szCs w:val="14"/>
                <w:color w:val="auto"/>
              </w:rPr>
            </w:pPr>
          </w:p>
        </w:tc>
        <w:tc>
          <w:tcPr>
            <w:tcW w:w="1160" w:type="dxa"/>
            <w:vAlign w:val="bottom"/>
            <w:tcBorders>
              <w:right w:val="single" w:sz="8" w:color="CCCCCC"/>
            </w:tcBorders>
          </w:tcPr>
          <w:p>
            <w:pPr>
              <w:spacing w:after="0"/>
              <w:rPr>
                <w:sz w:val="14"/>
                <w:szCs w:val="14"/>
                <w:color w:val="auto"/>
              </w:rPr>
            </w:pPr>
          </w:p>
        </w:tc>
        <w:tc>
          <w:tcPr>
            <w:tcW w:w="4640" w:type="dxa"/>
            <w:vAlign w:val="bottom"/>
            <w:tcBorders>
              <w:right w:val="single" w:sz="8" w:color="CCCCCC"/>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Electro-Mechanical Facility of the Cao Bang Minerals &amp;</w:t>
            </w:r>
          </w:p>
        </w:tc>
        <w:tc>
          <w:tcPr>
            <w:tcW w:w="2180" w:type="dxa"/>
            <w:vAlign w:val="bottom"/>
            <w:tcBorders>
              <w:right w:val="single" w:sz="8" w:color="CCCCCC"/>
            </w:tcBorders>
          </w:tcPr>
          <w:p>
            <w:pPr>
              <w:spacing w:after="0"/>
              <w:rPr>
                <w:sz w:val="14"/>
                <w:szCs w:val="14"/>
                <w:color w:val="auto"/>
              </w:rPr>
            </w:pPr>
          </w:p>
        </w:tc>
        <w:tc>
          <w:tcPr>
            <w:tcW w:w="1800" w:type="dxa"/>
            <w:vAlign w:val="bottom"/>
            <w:tcBorders>
              <w:right w:val="single" w:sz="8" w:color="CCCCCC"/>
            </w:tcBorders>
          </w:tcPr>
          <w:p>
            <w:pPr>
              <w:spacing w:after="0"/>
              <w:rPr>
                <w:sz w:val="14"/>
                <w:szCs w:val="14"/>
                <w:color w:val="auto"/>
              </w:rPr>
            </w:pPr>
          </w:p>
        </w:tc>
      </w:tr>
      <w:tr>
        <w:trPr>
          <w:trHeight w:val="24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CID002572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Metallurgy Joint Stock Company</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CID002573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Nghe Tinh Non-Ferrous Metals Joint Stock Company</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CID002574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Tuyen Quang Non-Ferrous Metals Joint Stock Company</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CID002580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T.C.A S.p.A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Italy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bl>
    <w:p>
      <w:pPr>
        <w:sectPr>
          <w:pgSz w:w="11900" w:h="16838" w:orient="portrait"/>
          <w:cols w:equalWidth="0" w:num="1">
            <w:col w:w="11260"/>
          </w:cols>
          <w:pgMar w:left="320" w:top="1416" w:right="3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80" w:type="dxa"/>
            <w:vAlign w:val="bottom"/>
            <w:tcBorders>
              <w:top w:val="single" w:sz="8" w:color="CCCCCC"/>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CID002582</w:t>
            </w:r>
          </w:p>
        </w:tc>
        <w:tc>
          <w:tcPr>
            <w:tcW w:w="116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REMONDIS PMR B.V.</w:t>
            </w:r>
          </w:p>
        </w:tc>
        <w:tc>
          <w:tcPr>
            <w:tcW w:w="218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Netherlands</w:t>
            </w:r>
          </w:p>
        </w:tc>
        <w:tc>
          <w:tcPr>
            <w:tcW w:w="180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CID002584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Fujairah Gold FZC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CID002588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Shirpur Gold Refinery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CID002589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Niagara Refining LLC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CID002593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PT Rajehan Ariq</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CID002605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Korea Zinc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Korea, Republic of</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CID002606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Marsam Metals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CID002615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TOO Tau-Ken-Altyn</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Kazakhstan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CID002641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China Molybdenum Tungsten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CID002660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Uzbekistan Technological Metallurgical Complex JSC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Uzbekistan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CID002696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PT Cipta Persada Mulia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CID002703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An Vinh Joint Stock Mineral Processing Company</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CID002706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CID002707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CID002708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Abington Reldan Metals, LLC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CID002750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CID002756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Super Ligas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CID002760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Albino Mountinho Lda.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Portugal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CID002761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SAAMP</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CID002762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L'Orfebre S.A.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Andorra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CID002763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8853 S.p.A.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Italy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CID002765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Italpreziosi</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Italy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CID002773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Aurubis Beerse</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CID002774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Aurubis Berango</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CID002776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PT Bangka Prima Tin</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CID002778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WIELAND Edelmetalle GmbH</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CID002779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Ogussa Osterreichische Gold- und Silber-Scheideanstalt GmbH</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Austria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CID002842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Jiangxi Tuohong New Raw Material</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CID002850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AU Traders and Refiners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CID002852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260"/>
          </w:cols>
          <w:pgMar w:left="320" w:top="1416" w:right="31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80" w:type="dxa"/>
            <w:vAlign w:val="bottom"/>
            <w:tcBorders>
              <w:top w:val="single" w:sz="8" w:color="CCCCCC"/>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CID002857</w:t>
            </w:r>
          </w:p>
        </w:tc>
        <w:tc>
          <w:tcPr>
            <w:tcW w:w="116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Modeltech Sdn Bhd</w:t>
            </w:r>
          </w:p>
        </w:tc>
        <w:tc>
          <w:tcPr>
            <w:tcW w:w="218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80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CID002858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Modeltech Sdn Bhd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CID002863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Bangalore Refinery</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CID002867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CID002872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Pease &amp; Curren</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CID002893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JALAN &amp; Company</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CID002918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SungEel HiMetal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Korea, Republic of</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CID002919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Chile</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CID002920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ABC Refinery Pty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CID002973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Safimet S.p.A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Italy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CID003116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Guangdong Hanhe Non-Ferrous Metal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169"/>
        </w:trPr>
        <w:tc>
          <w:tcPr>
            <w:tcW w:w="1480" w:type="dxa"/>
            <w:vAlign w:val="bottom"/>
            <w:tcBorders>
              <w:left w:val="single" w:sz="8" w:color="CCCCCC"/>
              <w:right w:val="single" w:sz="8" w:color="CCCCCC"/>
            </w:tcBorders>
          </w:tcPr>
          <w:p>
            <w:pPr>
              <w:spacing w:after="0"/>
              <w:rPr>
                <w:sz w:val="14"/>
                <w:szCs w:val="14"/>
                <w:color w:val="auto"/>
              </w:rPr>
            </w:pPr>
          </w:p>
        </w:tc>
        <w:tc>
          <w:tcPr>
            <w:tcW w:w="1160" w:type="dxa"/>
            <w:vAlign w:val="bottom"/>
            <w:tcBorders>
              <w:right w:val="single" w:sz="8" w:color="CCCCCC"/>
            </w:tcBorders>
          </w:tcPr>
          <w:p>
            <w:pPr>
              <w:spacing w:after="0"/>
              <w:rPr>
                <w:sz w:val="14"/>
                <w:szCs w:val="14"/>
                <w:color w:val="auto"/>
              </w:rPr>
            </w:pPr>
          </w:p>
        </w:tc>
        <w:tc>
          <w:tcPr>
            <w:tcW w:w="4640" w:type="dxa"/>
            <w:vAlign w:val="bottom"/>
            <w:tcBorders>
              <w:right w:val="single" w:sz="8" w:color="CCCCCC"/>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Research Institute Center for Physical Sciences and</w:t>
            </w:r>
          </w:p>
        </w:tc>
        <w:tc>
          <w:tcPr>
            <w:tcW w:w="2180" w:type="dxa"/>
            <w:vAlign w:val="bottom"/>
            <w:tcBorders>
              <w:right w:val="single" w:sz="8" w:color="CCCCCC"/>
            </w:tcBorders>
          </w:tcPr>
          <w:p>
            <w:pPr>
              <w:spacing w:after="0"/>
              <w:rPr>
                <w:sz w:val="14"/>
                <w:szCs w:val="14"/>
                <w:color w:val="auto"/>
              </w:rPr>
            </w:pPr>
          </w:p>
        </w:tc>
        <w:tc>
          <w:tcPr>
            <w:tcW w:w="1800" w:type="dxa"/>
            <w:vAlign w:val="bottom"/>
            <w:tcBorders>
              <w:right w:val="single" w:sz="8" w:color="CCCCCC"/>
            </w:tcBorders>
          </w:tcPr>
          <w:p>
            <w:pPr>
              <w:spacing w:after="0"/>
              <w:rPr>
                <w:sz w:val="14"/>
                <w:szCs w:val="14"/>
                <w:color w:val="auto"/>
              </w:rPr>
            </w:pPr>
          </w:p>
        </w:tc>
      </w:tr>
      <w:tr>
        <w:trPr>
          <w:trHeight w:val="24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CID003153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Technology</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Lithuania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CID003186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Gold Coast Refinery</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Ghana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CID003189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NH Recytech Company</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Korea, Republic of</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CID003190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Chifeng Dajingzi Tin Industry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CID003324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QG Refining, LLC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CID003325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Tin Technology &amp; Refining</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CID003348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Dijllah Gold Refinery FZC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CID003356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Dongguan CiEXPO Environmental Engineering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CID003379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Ma'anshan Weitai Tin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CID003380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PT Masbro Alam Stania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CID003382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CGR Metalloys Pvt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CID003387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Luna Smelter,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Rwanda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CID003397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Yunnan Yunfan Non-ferrous Metals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CID003407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Lianyou Metals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CID003409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Precious Minerals and Smelting Limited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CID003410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CID003417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Hubei Green Tungsten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CID003424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bl>
    <w:p>
      <w:pPr>
        <w:sectPr>
          <w:pgSz w:w="11900" w:h="16838" w:orient="portrait"/>
          <w:cols w:equalWidth="0" w:num="1">
            <w:col w:w="11260"/>
          </w:cols>
          <w:pgMar w:left="320" w:top="1416" w:right="31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80" w:type="dxa"/>
            <w:vAlign w:val="bottom"/>
            <w:tcBorders>
              <w:top w:val="single" w:sz="8" w:color="CCCCCC"/>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CID003425</w:t>
            </w:r>
          </w:p>
        </w:tc>
        <w:tc>
          <w:tcPr>
            <w:tcW w:w="116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Eco-System Recycling Co., Ltd. West Plant</w:t>
            </w:r>
          </w:p>
        </w:tc>
        <w:tc>
          <w:tcPr>
            <w:tcW w:w="218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CID003427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CID003449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CID003461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Augmont Enterprises Private Limited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CID003463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Kundan Care Products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CID003468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Cronimet Brasil Ltda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169"/>
        </w:trPr>
        <w:tc>
          <w:tcPr>
            <w:tcW w:w="1480" w:type="dxa"/>
            <w:vAlign w:val="bottom"/>
            <w:tcBorders>
              <w:left w:val="single" w:sz="8" w:color="CCCCCC"/>
              <w:right w:val="single" w:sz="8" w:color="CCCCCC"/>
            </w:tcBorders>
          </w:tcPr>
          <w:p>
            <w:pPr>
              <w:spacing w:after="0"/>
              <w:rPr>
                <w:sz w:val="14"/>
                <w:szCs w:val="14"/>
                <w:color w:val="auto"/>
              </w:rPr>
            </w:pPr>
          </w:p>
        </w:tc>
        <w:tc>
          <w:tcPr>
            <w:tcW w:w="1160" w:type="dxa"/>
            <w:vAlign w:val="bottom"/>
            <w:tcBorders>
              <w:right w:val="single" w:sz="8" w:color="CCCCCC"/>
            </w:tcBorders>
          </w:tcPr>
          <w:p>
            <w:pPr>
              <w:spacing w:after="0"/>
              <w:rPr>
                <w:sz w:val="14"/>
                <w:szCs w:val="14"/>
                <w:color w:val="auto"/>
              </w:rPr>
            </w:pPr>
          </w:p>
        </w:tc>
        <w:tc>
          <w:tcPr>
            <w:tcW w:w="4640" w:type="dxa"/>
            <w:vAlign w:val="bottom"/>
            <w:tcBorders>
              <w:right w:val="single" w:sz="8" w:color="CCCCCC"/>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CRM Fundicao De Metais E Comercio De Equipamentos</w:t>
            </w:r>
          </w:p>
        </w:tc>
        <w:tc>
          <w:tcPr>
            <w:tcW w:w="2180" w:type="dxa"/>
            <w:vAlign w:val="bottom"/>
            <w:tcBorders>
              <w:right w:val="single" w:sz="8" w:color="CCCCCC"/>
            </w:tcBorders>
          </w:tcPr>
          <w:p>
            <w:pPr>
              <w:spacing w:after="0"/>
              <w:rPr>
                <w:sz w:val="14"/>
                <w:szCs w:val="14"/>
                <w:color w:val="auto"/>
              </w:rPr>
            </w:pPr>
          </w:p>
        </w:tc>
        <w:tc>
          <w:tcPr>
            <w:tcW w:w="1800" w:type="dxa"/>
            <w:vAlign w:val="bottom"/>
            <w:tcBorders>
              <w:right w:val="single" w:sz="8" w:color="CCCCCC"/>
            </w:tcBorders>
          </w:tcPr>
          <w:p>
            <w:pPr>
              <w:spacing w:after="0"/>
              <w:rPr>
                <w:sz w:val="14"/>
                <w:szCs w:val="14"/>
                <w:color w:val="auto"/>
              </w:rPr>
            </w:pPr>
          </w:p>
        </w:tc>
      </w:tr>
      <w:tr>
        <w:trPr>
          <w:trHeight w:val="24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CID003486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CID003487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Emerald Jewel Industry India Limited (Unit 1)</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CID003488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Emerald Jewel Industry India Limited (Unit 2)</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CID003489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Emerald Jewel Industry India Limited (Unit 3)</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CID003490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Emerald Jewel Industry India Limited (Unit 4)</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CID003497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K.A. Rasmussen</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Norway</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CID003500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Alexy Metals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CID003524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CRM Synergies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CID003548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MD Overseas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CID003557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Metallix Refining Inc.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CID003575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CID003582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CID003609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Fujian Xinlu Tungsten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CID003615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WEEEREFINING</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CID003641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 by Gold Colombia</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Colombia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CID003662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YUDU ANSHENG TUNGSTEN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CID003663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Dongwu Gold Group</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CID003666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Sam Precious Metals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CID003690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Noble Metal Services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CID003868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PT Putera Sarana Shakti (PT PSS)</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CID003926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5D Production OU</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Estonia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CID003993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 Vietnam Joint Stock Company</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bl>
    <w:p>
      <w:pPr>
        <w:sectPr>
          <w:pgSz w:w="11900" w:h="16838" w:orient="portrait"/>
          <w:cols w:equalWidth="0" w:num="1">
            <w:col w:w="11260"/>
          </w:cols>
          <w:pgMar w:left="320" w:top="1416" w:right="31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80" w:type="dxa"/>
            <w:vAlign w:val="bottom"/>
            <w:tcBorders>
              <w:top w:val="single" w:sz="8" w:color="CCCCCC"/>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CID004010</w:t>
            </w:r>
          </w:p>
        </w:tc>
        <w:tc>
          <w:tcPr>
            <w:tcW w:w="116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Coimpa Industrial LTDA</w:t>
            </w:r>
          </w:p>
        </w:tc>
        <w:tc>
          <w:tcPr>
            <w:tcW w:w="218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80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CID004034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CID004054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PowerX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Rwanda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CID004065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Mining Minerals Resources SARL</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Congo</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CID004397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Lianyou Resources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169"/>
        </w:trPr>
        <w:tc>
          <w:tcPr>
            <w:tcW w:w="1480" w:type="dxa"/>
            <w:vAlign w:val="bottom"/>
            <w:tcBorders>
              <w:left w:val="single" w:sz="8" w:color="CCCCCC"/>
              <w:right w:val="single" w:sz="8" w:color="CCCCCC"/>
            </w:tcBorders>
          </w:tcPr>
          <w:p>
            <w:pPr>
              <w:spacing w:after="0"/>
              <w:rPr>
                <w:sz w:val="14"/>
                <w:szCs w:val="14"/>
                <w:color w:val="auto"/>
              </w:rPr>
            </w:pPr>
          </w:p>
        </w:tc>
        <w:tc>
          <w:tcPr>
            <w:tcW w:w="1160" w:type="dxa"/>
            <w:vAlign w:val="bottom"/>
            <w:tcBorders>
              <w:right w:val="single" w:sz="8" w:color="CCCCCC"/>
            </w:tcBorders>
          </w:tcPr>
          <w:p>
            <w:pPr>
              <w:spacing w:after="0"/>
              <w:rPr>
                <w:sz w:val="14"/>
                <w:szCs w:val="14"/>
                <w:color w:val="auto"/>
              </w:rPr>
            </w:pPr>
          </w:p>
        </w:tc>
        <w:tc>
          <w:tcPr>
            <w:tcW w:w="4640" w:type="dxa"/>
            <w:vAlign w:val="bottom"/>
            <w:tcBorders>
              <w:right w:val="single" w:sz="8" w:color="CCCCCC"/>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Takehara PVD Materials Plant / PVD Materials Division of</w:t>
            </w:r>
          </w:p>
        </w:tc>
        <w:tc>
          <w:tcPr>
            <w:tcW w:w="2180" w:type="dxa"/>
            <w:vAlign w:val="bottom"/>
            <w:tcBorders>
              <w:right w:val="single" w:sz="8" w:color="CCCCCC"/>
            </w:tcBorders>
          </w:tcPr>
          <w:p>
            <w:pPr>
              <w:spacing w:after="0"/>
              <w:rPr>
                <w:sz w:val="14"/>
                <w:szCs w:val="14"/>
                <w:color w:val="auto"/>
              </w:rPr>
            </w:pPr>
          </w:p>
        </w:tc>
        <w:tc>
          <w:tcPr>
            <w:tcW w:w="1800" w:type="dxa"/>
            <w:vAlign w:val="bottom"/>
            <w:tcBorders>
              <w:right w:val="single" w:sz="8" w:color="CCCCCC"/>
            </w:tcBorders>
          </w:tcPr>
          <w:p>
            <w:pPr>
              <w:spacing w:after="0"/>
              <w:rPr>
                <w:sz w:val="14"/>
                <w:szCs w:val="14"/>
                <w:color w:val="auto"/>
              </w:rPr>
            </w:pPr>
          </w:p>
        </w:tc>
      </w:tr>
      <w:tr>
        <w:trPr>
          <w:trHeight w:val="24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CID004403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MITSUI MINING &amp; SMELTING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CID004430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Shinwon Tungsten (Fujian Shanghang)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CID004431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CMT Rare Metal Advanced Materials (Hunan)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CID004434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Malaysia Smelting Corporation Berhad (Port Klang)</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169"/>
        </w:trPr>
        <w:tc>
          <w:tcPr>
            <w:tcW w:w="1480" w:type="dxa"/>
            <w:vAlign w:val="bottom"/>
            <w:tcBorders>
              <w:left w:val="single" w:sz="8" w:color="CCCCCC"/>
              <w:right w:val="single" w:sz="8" w:color="CCCCCC"/>
            </w:tcBorders>
          </w:tcPr>
          <w:p>
            <w:pPr>
              <w:spacing w:after="0"/>
              <w:rPr>
                <w:sz w:val="14"/>
                <w:szCs w:val="14"/>
                <w:color w:val="auto"/>
              </w:rPr>
            </w:pPr>
          </w:p>
        </w:tc>
        <w:tc>
          <w:tcPr>
            <w:tcW w:w="1160" w:type="dxa"/>
            <w:vAlign w:val="bottom"/>
            <w:tcBorders>
              <w:right w:val="single" w:sz="8" w:color="CCCCCC"/>
            </w:tcBorders>
          </w:tcPr>
          <w:p>
            <w:pPr>
              <w:spacing w:after="0"/>
              <w:rPr>
                <w:sz w:val="14"/>
                <w:szCs w:val="14"/>
                <w:color w:val="auto"/>
              </w:rPr>
            </w:pPr>
          </w:p>
        </w:tc>
        <w:tc>
          <w:tcPr>
            <w:tcW w:w="4640" w:type="dxa"/>
            <w:vAlign w:val="bottom"/>
            <w:tcBorders>
              <w:right w:val="single" w:sz="8" w:color="CCCCCC"/>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Shenzhen Jinjunwei Resource Comprehensive Development</w:t>
            </w:r>
          </w:p>
        </w:tc>
        <w:tc>
          <w:tcPr>
            <w:tcW w:w="2180" w:type="dxa"/>
            <w:vAlign w:val="bottom"/>
            <w:tcBorders>
              <w:right w:val="single" w:sz="8" w:color="CCCCCC"/>
            </w:tcBorders>
          </w:tcPr>
          <w:p>
            <w:pPr>
              <w:spacing w:after="0"/>
              <w:rPr>
                <w:sz w:val="14"/>
                <w:szCs w:val="14"/>
                <w:color w:val="auto"/>
              </w:rPr>
            </w:pPr>
          </w:p>
        </w:tc>
        <w:tc>
          <w:tcPr>
            <w:tcW w:w="1800" w:type="dxa"/>
            <w:vAlign w:val="bottom"/>
            <w:tcBorders>
              <w:right w:val="single" w:sz="8" w:color="CCCCCC"/>
            </w:tcBorders>
          </w:tcPr>
          <w:p>
            <w:pPr>
              <w:spacing w:after="0"/>
              <w:rPr>
                <w:sz w:val="14"/>
                <w:szCs w:val="14"/>
                <w:color w:val="auto"/>
              </w:rPr>
            </w:pPr>
          </w:p>
        </w:tc>
      </w:tr>
      <w:tr>
        <w:trPr>
          <w:trHeight w:val="24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CID004435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CID004438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CID004491</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TITAN COMPANY LIMITED, JEWELLERY DIVISION</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CID004506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GG Refinery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Tanzania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CID004604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Impala Platinum - Base Metals Refinery (BMR)</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CID004610</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Impala Platinum - Rustenburg Smelter</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CID004619</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Kenee Mining Corporation Vietnam</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CID004692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RIKAYAA GREENTECH PRIVATE LIMITED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CID004697</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Attero Recycling Pvt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CID004714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Impala Platinum - Platinum Metals Refinery (PMR)</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CID004724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Woodcross Smelting Company Limited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Uganda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CID004754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Advanced Metals Greenbushes Pty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CID004755</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Elite Industech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169"/>
        </w:trPr>
        <w:tc>
          <w:tcPr>
            <w:tcW w:w="1480" w:type="dxa"/>
            <w:vAlign w:val="bottom"/>
            <w:tcBorders>
              <w:left w:val="single" w:sz="8" w:color="CCCCCC"/>
              <w:right w:val="single" w:sz="8" w:color="CCCCCC"/>
            </w:tcBorders>
          </w:tcPr>
          <w:p>
            <w:pPr>
              <w:spacing w:after="0"/>
              <w:rPr>
                <w:sz w:val="14"/>
                <w:szCs w:val="14"/>
                <w:color w:val="auto"/>
              </w:rPr>
            </w:pPr>
          </w:p>
        </w:tc>
        <w:tc>
          <w:tcPr>
            <w:tcW w:w="1160" w:type="dxa"/>
            <w:vAlign w:val="bottom"/>
            <w:tcBorders>
              <w:right w:val="single" w:sz="8" w:color="CCCCCC"/>
            </w:tcBorders>
          </w:tcPr>
          <w:p>
            <w:pPr>
              <w:spacing w:after="0"/>
              <w:rPr>
                <w:sz w:val="14"/>
                <w:szCs w:val="14"/>
                <w:color w:val="auto"/>
              </w:rPr>
            </w:pPr>
          </w:p>
        </w:tc>
        <w:tc>
          <w:tcPr>
            <w:tcW w:w="4640" w:type="dxa"/>
            <w:vAlign w:val="bottom"/>
            <w:tcBorders>
              <w:right w:val="single" w:sz="8" w:color="CCCCCC"/>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Longnan Chuangyue Environmental Protection Technology</w:t>
            </w:r>
          </w:p>
        </w:tc>
        <w:tc>
          <w:tcPr>
            <w:tcW w:w="2180" w:type="dxa"/>
            <w:vAlign w:val="bottom"/>
            <w:tcBorders>
              <w:right w:val="single" w:sz="8" w:color="CCCCCC"/>
            </w:tcBorders>
          </w:tcPr>
          <w:p>
            <w:pPr>
              <w:spacing w:after="0"/>
              <w:rPr>
                <w:sz w:val="14"/>
                <w:szCs w:val="14"/>
                <w:color w:val="auto"/>
              </w:rPr>
            </w:pPr>
          </w:p>
        </w:tc>
        <w:tc>
          <w:tcPr>
            <w:tcW w:w="1800" w:type="dxa"/>
            <w:vAlign w:val="bottom"/>
            <w:tcBorders>
              <w:right w:val="single" w:sz="8" w:color="CCCCCC"/>
            </w:tcBorders>
          </w:tcPr>
          <w:p>
            <w:pPr>
              <w:spacing w:after="0"/>
              <w:rPr>
                <w:sz w:val="14"/>
                <w:szCs w:val="14"/>
                <w:color w:val="auto"/>
              </w:rPr>
            </w:pPr>
          </w:p>
        </w:tc>
      </w:tr>
      <w:tr>
        <w:trPr>
          <w:trHeight w:val="24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CID004796</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Development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CID004813</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Jiangxi Suns Nonferrous Materials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CID005012</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Jing Yuan Tungsten Technology Co., Ltd.</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CID005014</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Minera Titan del Peru SRL (MTP) - Belen Plant</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6"/>
              </w:rPr>
              <w:t>Peru</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CID005068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S.P.T. spol.s r.o.</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Czechia</w:t>
            </w:r>
          </w:p>
        </w:tc>
        <w:tc>
          <w:tcPr>
            <w:tcW w:w="180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Conformant</w:t>
            </w:r>
          </w:p>
        </w:tc>
      </w:tr>
    </w:tbl>
    <w:p>
      <w:pPr>
        <w:sectPr>
          <w:pgSz w:w="11900" w:h="16838" w:orient="portrait"/>
          <w:cols w:equalWidth="0" w:num="1">
            <w:col w:w="11260"/>
          </w:cols>
          <w:pgMar w:left="320" w:top="1416" w:right="31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80" w:type="dxa"/>
            <w:vAlign w:val="bottom"/>
            <w:tcBorders>
              <w:top w:val="single" w:sz="8" w:color="CCCCCC"/>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CID005189</w:t>
            </w:r>
          </w:p>
        </w:tc>
        <w:tc>
          <w:tcPr>
            <w:tcW w:w="116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5"/>
              </w:rPr>
              <w:t>Tin</w:t>
            </w:r>
          </w:p>
        </w:tc>
        <w:tc>
          <w:tcPr>
            <w:tcW w:w="464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P Kay Metal, Inc</w:t>
            </w:r>
          </w:p>
        </w:tc>
        <w:tc>
          <w:tcPr>
            <w:tcW w:w="2180" w:type="dxa"/>
            <w:vAlign w:val="bottom"/>
            <w:tcBorders>
              <w:top w:val="single" w:sz="8" w:color="CCCCCC"/>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800" w:type="dxa"/>
            <w:vAlign w:val="bottom"/>
            <w:tcBorders>
              <w:top w:val="single" w:sz="8" w:color="CCCCCC"/>
              <w:bottom w:val="single" w:sz="8" w:color="CCCCCC"/>
              <w:right w:val="single" w:sz="8" w:color="CCCCCC"/>
            </w:tcBorders>
          </w:tcPr>
          <w:p>
            <w:pPr>
              <w:ind w:left="460"/>
              <w:spacing w:after="0"/>
              <w:rPr>
                <w:sz w:val="20"/>
                <w:szCs w:val="20"/>
                <w:color w:val="auto"/>
              </w:rPr>
            </w:pPr>
            <w:r>
              <w:rPr>
                <w:rFonts w:ascii="Times New Roman" w:cs="Times New Roman" w:eastAsia="Times New Roman" w:hAnsi="Times New Roman"/>
                <w:sz w:val="18"/>
                <w:szCs w:val="18"/>
                <w:color w:val="auto"/>
              </w:rPr>
              <w:t>Conformant</w:t>
            </w:r>
          </w:p>
        </w:tc>
      </w:tr>
      <w:tr>
        <w:trPr>
          <w:trHeight w:val="223"/>
        </w:trPr>
        <w:tc>
          <w:tcPr>
            <w:tcW w:w="1480" w:type="dxa"/>
            <w:vAlign w:val="bottom"/>
            <w:tcBorders>
              <w:left w:val="single" w:sz="8" w:color="CCCCCC"/>
              <w:bottom w:val="single" w:sz="8" w:color="CCCCCC"/>
              <w:right w:val="single" w:sz="8" w:color="CCCCCC"/>
            </w:tcBorders>
          </w:tcPr>
          <w:p>
            <w:pPr>
              <w:ind w:left="320"/>
              <w:spacing w:after="0"/>
              <w:rPr>
                <w:sz w:val="20"/>
                <w:szCs w:val="20"/>
                <w:color w:val="auto"/>
              </w:rPr>
            </w:pPr>
            <w:r>
              <w:rPr>
                <w:rFonts w:ascii="Times New Roman" w:cs="Times New Roman" w:eastAsia="Times New Roman" w:hAnsi="Times New Roman"/>
                <w:sz w:val="18"/>
                <w:szCs w:val="18"/>
                <w:color w:val="auto"/>
              </w:rPr>
              <w:t>CID005248</w:t>
            </w:r>
          </w:p>
        </w:tc>
        <w:tc>
          <w:tcPr>
            <w:tcW w:w="116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64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9"/>
              </w:rPr>
              <w:t>Tungamoy Metals Inc.</w:t>
            </w:r>
          </w:p>
        </w:tc>
        <w:tc>
          <w:tcPr>
            <w:tcW w:w="2180" w:type="dxa"/>
            <w:vAlign w:val="bottom"/>
            <w:tcBorders>
              <w:bottom w:val="single" w:sz="8" w:color="CCCCCC"/>
              <w:right w:val="single" w:sz="8" w:color="CCCCCC"/>
            </w:tcBorders>
          </w:tcPr>
          <w:p>
            <w:pPr>
              <w:jc w:val="center"/>
              <w:spacing w:after="0"/>
              <w:rPr>
                <w:sz w:val="20"/>
                <w:szCs w:val="20"/>
                <w:color w:val="auto"/>
              </w:rPr>
            </w:pPr>
            <w:r>
              <w:rPr>
                <w:rFonts w:ascii="Times New Roman" w:cs="Times New Roman" w:eastAsia="Times New Roman" w:hAnsi="Times New Roman"/>
                <w:sz w:val="18"/>
                <w:szCs w:val="18"/>
                <w:color w:val="auto"/>
                <w:w w:val="98"/>
              </w:rPr>
              <w:t>Korea, Republic of</w:t>
            </w:r>
          </w:p>
        </w:tc>
        <w:tc>
          <w:tcPr>
            <w:tcW w:w="1800" w:type="dxa"/>
            <w:vAlign w:val="bottom"/>
            <w:tcBorders>
              <w:bottom w:val="single" w:sz="8" w:color="CCCCCC"/>
              <w:right w:val="single" w:sz="8" w:color="CCCCCC"/>
            </w:tcBorders>
          </w:tcPr>
          <w:p>
            <w:pPr>
              <w:ind w:left="46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Smelters or Refiners identified as “Conformant” are listed as complying with the RMAP assessment protocols and include smelters and refiners with</w:t>
      </w:r>
    </w:p>
    <w:p>
      <w:pPr>
        <w:spacing w:after="0" w:line="27" w:lineRule="exact"/>
        <w:rPr>
          <w:rFonts w:ascii="Times New Roman" w:cs="Times New Roman" w:eastAsia="Times New Roman" w:hAnsi="Times New Roman"/>
          <w:sz w:val="18"/>
          <w:szCs w:val="18"/>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valid audits or a re-audits in progress or, with respect to certain gold smelters, that had successfully completed a cross-recognized assessment with the LBMA and/or RJC, and smelters identified as “Active” are listed as having agreed to complete the RMAP audit process, in each case as of May 26,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Smelters or Refiners identified as neither “Conformant” nor “Active” by RMI as of May 26, 2026.</w:t>
      </w:r>
    </w:p>
    <w:sectPr>
      <w:pgSz w:w="11900" w:h="16838" w:orient="portrait"/>
      <w:cols w:equalWidth="0" w:num="1">
        <w:col w:w="11260"/>
      </w:cols>
      <w:pgMar w:left="320" w:top="14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
      <w:numFmt w:val="bullet"/>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2026-06-01T16:13:09Z</dcterms:created>
  <dcterms:modified xsi:type="dcterms:W3CDTF">2026-06-01T16:13:09Z</dcterms:modified>
</cp:coreProperties>
</file>